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9D3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山东金宝</w:t>
      </w:r>
      <w:r>
        <w:rPr>
          <w:rFonts w:hint="eastAsia" w:ascii="宋体" w:hAnsi="宋体" w:eastAsia="宋体" w:cs="宋体"/>
          <w:b/>
          <w:bCs/>
          <w:sz w:val="32"/>
          <w:szCs w:val="32"/>
          <w:lang w:eastAsia="zh-CN"/>
        </w:rPr>
        <w:t>电子</w:t>
      </w:r>
      <w:r>
        <w:rPr>
          <w:rFonts w:hint="eastAsia" w:ascii="宋体" w:hAnsi="宋体" w:eastAsia="宋体" w:cs="宋体"/>
          <w:b/>
          <w:bCs/>
          <w:sz w:val="32"/>
          <w:szCs w:val="32"/>
        </w:rPr>
        <w:t>有限公司</w:t>
      </w:r>
      <w:r>
        <w:rPr>
          <w:rFonts w:hint="eastAsia" w:ascii="宋体" w:hAnsi="宋体" w:eastAsia="宋体" w:cs="宋体"/>
          <w:b/>
          <w:bCs/>
          <w:sz w:val="32"/>
          <w:szCs w:val="32"/>
          <w:lang w:eastAsia="zh-CN"/>
        </w:rPr>
        <w:t>、山东金都电子材料有限公司</w:t>
      </w:r>
    </w:p>
    <w:p w14:paraId="41D2B815">
      <w:pPr>
        <w:keepNext w:val="0"/>
        <w:keepLines w:val="0"/>
        <w:pageBreakBefore w:val="0"/>
        <w:widowControl w:val="0"/>
        <w:kinsoku/>
        <w:wordWrap/>
        <w:overflowPunct/>
        <w:topLinePunct w:val="0"/>
        <w:autoSpaceDE/>
        <w:autoSpaceDN/>
        <w:bidi w:val="0"/>
        <w:adjustRightInd/>
        <w:snapToGrid/>
        <w:spacing w:line="360" w:lineRule="auto"/>
        <w:ind w:firstLine="2891" w:firstLineChars="900"/>
        <w:jc w:val="both"/>
        <w:textAlignment w:val="auto"/>
        <w:rPr>
          <w:rFonts w:hint="eastAsia" w:ascii="宋体" w:hAnsi="宋体" w:eastAsia="宋体" w:cs="宋体"/>
          <w:b/>
          <w:bCs/>
          <w:sz w:val="32"/>
          <w:szCs w:val="32"/>
        </w:rPr>
      </w:pPr>
      <w:r>
        <w:rPr>
          <w:rFonts w:hint="eastAsia" w:ascii="宋体" w:hAnsi="宋体" w:cs="宋体"/>
          <w:b/>
          <w:bCs/>
          <w:sz w:val="32"/>
          <w:szCs w:val="32"/>
          <w:lang w:val="en-US" w:eastAsia="zh-CN"/>
        </w:rPr>
        <w:t>2025年度</w:t>
      </w:r>
      <w:r>
        <w:rPr>
          <w:rFonts w:hint="eastAsia" w:ascii="宋体" w:hAnsi="宋体" w:eastAsia="宋体" w:cs="宋体"/>
          <w:b/>
          <w:bCs/>
          <w:sz w:val="32"/>
          <w:szCs w:val="32"/>
          <w:lang w:eastAsia="zh-CN"/>
        </w:rPr>
        <w:t>查体</w:t>
      </w:r>
      <w:r>
        <w:rPr>
          <w:rFonts w:hint="eastAsia" w:ascii="宋体" w:hAnsi="宋体" w:eastAsia="宋体" w:cs="宋体"/>
          <w:b/>
          <w:bCs/>
          <w:sz w:val="32"/>
          <w:szCs w:val="32"/>
        </w:rPr>
        <w:t>招标文件</w:t>
      </w:r>
    </w:p>
    <w:p w14:paraId="4A7AC6E3">
      <w:pPr>
        <w:pStyle w:val="3"/>
        <w:rPr>
          <w:rFonts w:hint="eastAsia"/>
        </w:rPr>
      </w:pPr>
    </w:p>
    <w:p w14:paraId="2210C91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一、公司简介：</w:t>
      </w:r>
    </w:p>
    <w:p w14:paraId="47D13DD7">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default" w:ascii="仿宋" w:hAnsi="仿宋" w:eastAsia="仿宋" w:cs="仿宋"/>
          <w:b/>
          <w:bCs/>
          <w:sz w:val="28"/>
          <w:szCs w:val="36"/>
        </w:rPr>
      </w:pPr>
      <w:r>
        <w:rPr>
          <w:rFonts w:hint="eastAsia" w:ascii="仿宋" w:hAnsi="仿宋" w:eastAsia="仿宋" w:cs="仿宋"/>
          <w:b/>
          <w:bCs/>
          <w:sz w:val="28"/>
          <w:szCs w:val="36"/>
          <w:lang w:val="en-US" w:eastAsia="zh-CN"/>
        </w:rPr>
        <w:t>1、</w:t>
      </w:r>
      <w:r>
        <w:rPr>
          <w:rFonts w:hint="eastAsia" w:ascii="仿宋" w:hAnsi="仿宋" w:eastAsia="仿宋" w:cs="仿宋"/>
          <w:b/>
          <w:bCs/>
          <w:sz w:val="28"/>
          <w:szCs w:val="36"/>
        </w:rPr>
        <w:t>山东金宝电子有限公司</w:t>
      </w:r>
      <w:r>
        <w:rPr>
          <w:rFonts w:hint="default" w:ascii="仿宋" w:hAnsi="仿宋" w:eastAsia="仿宋" w:cs="仿宋"/>
          <w:b/>
          <w:bCs/>
          <w:sz w:val="28"/>
          <w:szCs w:val="36"/>
        </w:rPr>
        <w:t>：</w:t>
      </w:r>
    </w:p>
    <w:p w14:paraId="75C79C6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sz w:val="28"/>
          <w:szCs w:val="28"/>
          <w:lang w:eastAsia="zh-CN"/>
        </w:rPr>
      </w:pPr>
      <w:r>
        <w:rPr>
          <w:rFonts w:hint="eastAsia"/>
          <w:sz w:val="28"/>
          <w:szCs w:val="36"/>
        </w:rPr>
        <w:t>山东金宝电子有限公司</w:t>
      </w:r>
      <w:r>
        <w:rPr>
          <w:sz w:val="28"/>
          <w:szCs w:val="36"/>
        </w:rPr>
        <w:t>专业生产电子铜箔、</w:t>
      </w:r>
      <w:r>
        <w:rPr>
          <w:sz w:val="28"/>
          <w:szCs w:val="36"/>
        </w:rPr>
        <w:fldChar w:fldCharType="begin"/>
      </w:r>
      <w:r>
        <w:rPr>
          <w:sz w:val="28"/>
          <w:szCs w:val="36"/>
        </w:rPr>
        <w:instrText xml:space="preserve"> HYPERLINK "https://baike.sogou.com/v1590593.htm" \t "_blank" </w:instrText>
      </w:r>
      <w:r>
        <w:rPr>
          <w:sz w:val="28"/>
          <w:szCs w:val="36"/>
        </w:rPr>
        <w:fldChar w:fldCharType="separate"/>
      </w:r>
      <w:r>
        <w:rPr>
          <w:sz w:val="28"/>
          <w:szCs w:val="36"/>
        </w:rPr>
        <w:t>覆铜板</w:t>
      </w:r>
      <w:r>
        <w:rPr>
          <w:sz w:val="28"/>
          <w:szCs w:val="36"/>
        </w:rPr>
        <w:fldChar w:fldCharType="end"/>
      </w:r>
      <w:r>
        <w:rPr>
          <w:sz w:val="28"/>
          <w:szCs w:val="36"/>
        </w:rPr>
        <w:t>和</w:t>
      </w:r>
      <w:r>
        <w:rPr>
          <w:sz w:val="28"/>
          <w:szCs w:val="36"/>
        </w:rPr>
        <w:fldChar w:fldCharType="begin"/>
      </w:r>
      <w:r>
        <w:rPr>
          <w:sz w:val="28"/>
          <w:szCs w:val="36"/>
        </w:rPr>
        <w:instrText xml:space="preserve"> HYPERLINK "https://baike.sogou.com/v5167988.htm" \t "_blank" </w:instrText>
      </w:r>
      <w:r>
        <w:rPr>
          <w:sz w:val="28"/>
          <w:szCs w:val="36"/>
        </w:rPr>
        <w:fldChar w:fldCharType="separate"/>
      </w:r>
      <w:r>
        <w:rPr>
          <w:sz w:val="28"/>
          <w:szCs w:val="36"/>
        </w:rPr>
        <w:t>印制电路板</w:t>
      </w:r>
      <w:r>
        <w:rPr>
          <w:sz w:val="28"/>
          <w:szCs w:val="36"/>
        </w:rPr>
        <w:fldChar w:fldCharType="end"/>
      </w:r>
      <w:r>
        <w:rPr>
          <w:sz w:val="28"/>
          <w:szCs w:val="36"/>
        </w:rPr>
        <w:t>产品</w:t>
      </w:r>
      <w:r>
        <w:rPr>
          <w:rFonts w:hint="eastAsia"/>
          <w:sz w:val="28"/>
          <w:szCs w:val="36"/>
        </w:rPr>
        <w:t>。</w:t>
      </w:r>
      <w:r>
        <w:rPr>
          <w:sz w:val="28"/>
          <w:szCs w:val="36"/>
        </w:rPr>
        <w:t>电子铜箔、覆铜板分别达到18000吨/年、1800万平方米/</w:t>
      </w:r>
      <w:r>
        <w:rPr>
          <w:rFonts w:hint="eastAsia"/>
          <w:sz w:val="28"/>
          <w:szCs w:val="36"/>
          <w:lang w:eastAsia="zh-CN"/>
        </w:rPr>
        <w:t>年</w:t>
      </w:r>
      <w:r>
        <w:rPr>
          <w:rFonts w:hint="eastAsia"/>
          <w:sz w:val="28"/>
          <w:szCs w:val="28"/>
        </w:rPr>
        <w:t>。</w:t>
      </w:r>
      <w:r>
        <w:rPr>
          <w:rFonts w:hint="eastAsia"/>
          <w:sz w:val="28"/>
          <w:szCs w:val="28"/>
          <w:lang w:eastAsia="zh-CN"/>
        </w:rPr>
        <w:t>下设</w:t>
      </w:r>
      <w:r>
        <w:rPr>
          <w:rFonts w:hint="eastAsia"/>
          <w:sz w:val="28"/>
          <w:szCs w:val="28"/>
          <w:lang w:val="en-US" w:eastAsia="zh-CN"/>
        </w:rPr>
        <w:t>3</w:t>
      </w:r>
      <w:r>
        <w:rPr>
          <w:rFonts w:hint="eastAsia"/>
          <w:sz w:val="28"/>
          <w:szCs w:val="28"/>
          <w:lang w:eastAsia="zh-CN"/>
        </w:rPr>
        <w:t>个大厂区，散布于城区不同的三个位置。</w:t>
      </w:r>
    </w:p>
    <w:p w14:paraId="3655A65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sz w:val="28"/>
          <w:szCs w:val="28"/>
          <w:lang w:val="en-US" w:eastAsia="zh-CN"/>
        </w:rPr>
      </w:pPr>
      <w:r>
        <w:rPr>
          <w:rFonts w:hint="eastAsia"/>
          <w:sz w:val="28"/>
          <w:szCs w:val="28"/>
          <w:lang w:eastAsia="zh-CN"/>
        </w:rPr>
        <w:t>招远市天府路</w:t>
      </w:r>
      <w:r>
        <w:rPr>
          <w:rFonts w:hint="eastAsia"/>
          <w:sz w:val="28"/>
          <w:szCs w:val="28"/>
          <w:lang w:val="en-US" w:eastAsia="zh-CN"/>
        </w:rPr>
        <w:t>128号的铜箔天府路厂，</w:t>
      </w:r>
      <w:r>
        <w:rPr>
          <w:rFonts w:hint="eastAsia"/>
          <w:sz w:val="28"/>
          <w:szCs w:val="36"/>
          <w:lang w:val="en-US" w:eastAsia="zh-CN"/>
        </w:rPr>
        <w:t>天府路厂占地面积31129㎡，建筑面积13929㎡，共210人。</w:t>
      </w:r>
      <w:r>
        <w:rPr>
          <w:rFonts w:hint="eastAsia"/>
          <w:sz w:val="28"/>
          <w:szCs w:val="28"/>
          <w:lang w:val="en-US" w:eastAsia="zh-CN"/>
        </w:rPr>
        <w:t>主要生产铜箔；</w:t>
      </w:r>
    </w:p>
    <w:p w14:paraId="0E4F7F7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sz w:val="28"/>
          <w:szCs w:val="28"/>
          <w:lang w:val="en-US" w:eastAsia="zh-CN"/>
        </w:rPr>
      </w:pPr>
      <w:r>
        <w:rPr>
          <w:rFonts w:hint="eastAsia"/>
          <w:sz w:val="28"/>
          <w:szCs w:val="28"/>
          <w:lang w:val="en-US" w:eastAsia="zh-CN"/>
        </w:rPr>
        <w:t>金源路39号的覆铜板金源路厂，</w:t>
      </w:r>
      <w:r>
        <w:rPr>
          <w:rFonts w:hint="eastAsia"/>
          <w:sz w:val="28"/>
          <w:szCs w:val="36"/>
          <w:lang w:val="en-US" w:eastAsia="zh-CN"/>
        </w:rPr>
        <w:t>金源路厂占地面积23386㎡，建筑面积18015㎡，共267人，</w:t>
      </w:r>
      <w:r>
        <w:rPr>
          <w:rFonts w:hint="eastAsia"/>
          <w:sz w:val="28"/>
          <w:szCs w:val="28"/>
          <w:lang w:val="en-US" w:eastAsia="zh-CN"/>
        </w:rPr>
        <w:t>主要生产覆铜板；</w:t>
      </w:r>
    </w:p>
    <w:p w14:paraId="40F6D30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sz w:val="28"/>
          <w:szCs w:val="28"/>
          <w:lang w:val="zh-CN"/>
        </w:rPr>
      </w:pPr>
      <w:r>
        <w:rPr>
          <w:rFonts w:hint="eastAsia"/>
          <w:sz w:val="28"/>
          <w:szCs w:val="28"/>
          <w:lang w:val="en-US" w:eastAsia="zh-CN"/>
        </w:rPr>
        <w:t>工业园区</w:t>
      </w:r>
      <w:r>
        <w:rPr>
          <w:rFonts w:hint="eastAsia"/>
          <w:sz w:val="28"/>
          <w:szCs w:val="28"/>
          <w:lang w:val="zh-CN"/>
        </w:rPr>
        <w:t>位于招远市经济技术开发区招远市龙青路以北、龙青高速以南（横掌赵家以西、郑家以东、龙青路以北区域），</w:t>
      </w:r>
      <w:r>
        <w:rPr>
          <w:rFonts w:hint="eastAsia"/>
          <w:sz w:val="28"/>
          <w:szCs w:val="28"/>
          <w:lang w:val="en-US" w:eastAsia="zh-CN"/>
        </w:rPr>
        <w:t>地址为国大路268号，其中</w:t>
      </w:r>
      <w:r>
        <w:rPr>
          <w:rFonts w:hint="eastAsia"/>
          <w:sz w:val="28"/>
          <w:szCs w:val="36"/>
          <w:lang w:val="en-US" w:eastAsia="zh-CN"/>
        </w:rPr>
        <w:t>国大路厂占地面积122070㎡，建筑面积66440㎡，内</w:t>
      </w:r>
      <w:r>
        <w:rPr>
          <w:rFonts w:hint="eastAsia"/>
          <w:sz w:val="28"/>
          <w:szCs w:val="28"/>
          <w:lang w:val="en-US" w:eastAsia="zh-CN"/>
        </w:rPr>
        <w:t>设行政办公楼、覆铜板国大路厂（分南区和北区）、机修厂（工业园区总人数610人）</w:t>
      </w:r>
      <w:r>
        <w:rPr>
          <w:rFonts w:hint="eastAsia"/>
          <w:sz w:val="28"/>
          <w:szCs w:val="28"/>
          <w:lang w:val="zh-CN"/>
        </w:rPr>
        <w:t>。</w:t>
      </w:r>
    </w:p>
    <w:p w14:paraId="7FFB2475">
      <w:pPr>
        <w:pStyle w:val="2"/>
        <w:rPr>
          <w:rFonts w:hint="eastAsia" w:ascii="仿宋" w:hAnsi="仿宋" w:eastAsia="仿宋" w:cs="仿宋"/>
          <w:b/>
          <w:bCs/>
          <w:lang w:val="en-US" w:eastAsia="zh-CN"/>
        </w:rPr>
      </w:pPr>
      <w:r>
        <w:rPr>
          <w:rFonts w:hint="eastAsia" w:ascii="仿宋" w:hAnsi="仿宋" w:eastAsia="仿宋" w:cs="仿宋"/>
          <w:b/>
          <w:bCs/>
          <w:lang w:val="zh-CN"/>
        </w:rPr>
        <w:t>金宝公司合计人数</w:t>
      </w:r>
      <w:r>
        <w:rPr>
          <w:rFonts w:hint="eastAsia" w:ascii="仿宋" w:hAnsi="仿宋" w:eastAsia="仿宋" w:cs="仿宋"/>
          <w:b/>
          <w:bCs/>
          <w:lang w:val="en-US" w:eastAsia="zh-CN"/>
        </w:rPr>
        <w:t>1087人。</w:t>
      </w:r>
    </w:p>
    <w:p w14:paraId="5855F2EC">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val="0"/>
          <w:sz w:val="28"/>
          <w:szCs w:val="28"/>
          <w:lang w:val="en-US" w:eastAsia="zh-CN"/>
        </w:rPr>
        <w:t>电子铜箔制造工艺流程：</w:t>
      </w:r>
      <w:r>
        <w:rPr>
          <w:rFonts w:hint="eastAsia" w:ascii="仿宋" w:hAnsi="仿宋" w:eastAsia="仿宋" w:cs="仿宋"/>
          <w:sz w:val="28"/>
          <w:szCs w:val="28"/>
          <w:highlight w:val="none"/>
        </w:rPr>
        <w:t>电子铜箔</w:t>
      </w:r>
      <w:r>
        <w:rPr>
          <w:rFonts w:hint="eastAsia" w:ascii="仿宋" w:hAnsi="仿宋" w:eastAsia="仿宋" w:cs="仿宋"/>
          <w:sz w:val="28"/>
          <w:szCs w:val="28"/>
        </w:rPr>
        <w:t>生产工艺流程分为四道工序，即溶铜造液工序、原箔制造工序、表面处理工序、分切检验工序。</w:t>
      </w:r>
    </w:p>
    <w:p w14:paraId="29F19A94">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bCs/>
          <w:sz w:val="28"/>
          <w:szCs w:val="28"/>
          <w:lang w:val="en-US" w:eastAsia="zh-CN"/>
        </w:rPr>
        <w:drawing>
          <wp:inline distT="0" distB="0" distL="114300" distR="114300">
            <wp:extent cx="4822825" cy="2029460"/>
            <wp:effectExtent l="0" t="0" r="15875" b="8890"/>
            <wp:docPr id="1" name="图片 1" descr="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工艺流程"/>
                    <pic:cNvPicPr>
                      <a:picLocks noChangeAspect="1"/>
                    </pic:cNvPicPr>
                  </pic:nvPicPr>
                  <pic:blipFill>
                    <a:blip r:embed="rId5"/>
                    <a:stretch>
                      <a:fillRect/>
                    </a:stretch>
                  </pic:blipFill>
                  <pic:spPr>
                    <a:xfrm>
                      <a:off x="0" y="0"/>
                      <a:ext cx="4822825" cy="2029460"/>
                    </a:xfrm>
                    <a:prstGeom prst="rect">
                      <a:avLst/>
                    </a:prstGeom>
                    <a:noFill/>
                    <a:ln>
                      <a:noFill/>
                    </a:ln>
                  </pic:spPr>
                </pic:pic>
              </a:graphicData>
            </a:graphic>
          </wp:inline>
        </w:drawing>
      </w:r>
    </w:p>
    <w:p w14:paraId="13EF257D">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Cs/>
          <w:sz w:val="28"/>
          <w:szCs w:val="28"/>
        </w:rPr>
      </w:pPr>
      <w:r>
        <w:rPr>
          <w:rFonts w:hint="eastAsia" w:ascii="仿宋" w:hAnsi="仿宋" w:eastAsia="仿宋" w:cs="仿宋"/>
          <w:b/>
          <w:bCs w:val="0"/>
          <w:sz w:val="28"/>
          <w:szCs w:val="28"/>
          <w:lang w:val="en-US" w:eastAsia="zh-CN"/>
        </w:rPr>
        <w:t>覆铜板制造工艺流程：</w:t>
      </w:r>
      <w:r>
        <w:rPr>
          <w:rFonts w:hint="eastAsia" w:ascii="仿宋" w:hAnsi="仿宋" w:eastAsia="仿宋" w:cs="仿宋"/>
          <w:bCs/>
          <w:sz w:val="28"/>
          <w:szCs w:val="28"/>
          <w:lang w:val="en-US" w:eastAsia="zh-CN"/>
        </w:rPr>
        <w:t>覆铜板生产工艺流程分为六道工序，即混胶工序、上胶工序、压合工序、拆解工序、裁切工序、检测工序。</w:t>
      </w:r>
    </w:p>
    <w:p w14:paraId="1B6DADCB">
      <w:pPr>
        <w:keepNext w:val="0"/>
        <w:keepLines w:val="0"/>
        <w:pageBreakBefore w:val="0"/>
        <w:widowControl w:val="0"/>
        <w:numPr>
          <w:ilvl w:val="0"/>
          <w:numId w:val="0"/>
        </w:numPr>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lang w:val="zh-CN"/>
        </w:rPr>
      </w:pPr>
    </w:p>
    <w:p w14:paraId="69156B79">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bCs/>
          <w:sz w:val="32"/>
          <w:lang w:eastAsia="zh-CN"/>
        </w:rPr>
      </w:pPr>
      <w:r>
        <w:rPr>
          <w:rFonts w:hint="eastAsia" w:ascii="仿宋" w:hAnsi="仿宋" w:eastAsia="仿宋" w:cs="仿宋"/>
          <w:bCs/>
          <w:sz w:val="32"/>
          <w:lang w:eastAsia="zh-CN"/>
        </w:rPr>
        <w:drawing>
          <wp:inline distT="0" distB="0" distL="114300" distR="114300">
            <wp:extent cx="4804410" cy="1371600"/>
            <wp:effectExtent l="0" t="0" r="15240" b="0"/>
            <wp:docPr id="2" name="图片 2" descr="覆铜板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覆铜板工艺流程"/>
                    <pic:cNvPicPr>
                      <a:picLocks noChangeAspect="1"/>
                    </pic:cNvPicPr>
                  </pic:nvPicPr>
                  <pic:blipFill>
                    <a:blip r:embed="rId6"/>
                    <a:stretch>
                      <a:fillRect/>
                    </a:stretch>
                  </pic:blipFill>
                  <pic:spPr>
                    <a:xfrm>
                      <a:off x="0" y="0"/>
                      <a:ext cx="4804410" cy="1371600"/>
                    </a:xfrm>
                    <a:prstGeom prst="rect">
                      <a:avLst/>
                    </a:prstGeom>
                    <a:noFill/>
                    <a:ln>
                      <a:noFill/>
                    </a:ln>
                  </pic:spPr>
                </pic:pic>
              </a:graphicData>
            </a:graphic>
          </wp:inline>
        </w:drawing>
      </w:r>
    </w:p>
    <w:p w14:paraId="4984E22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仿宋" w:hAnsi="仿宋" w:eastAsia="仿宋" w:cs="仿宋"/>
          <w:b/>
          <w:bCs/>
          <w:color w:val="000000"/>
          <w:sz w:val="28"/>
          <w:szCs w:val="28"/>
        </w:rPr>
      </w:pPr>
      <w:r>
        <w:rPr>
          <w:rFonts w:hint="default" w:ascii="仿宋" w:hAnsi="仿宋" w:eastAsia="仿宋" w:cs="仿宋"/>
          <w:b/>
          <w:bCs/>
          <w:color w:val="000000"/>
          <w:sz w:val="28"/>
          <w:szCs w:val="28"/>
        </w:rPr>
        <w:t>2、</w:t>
      </w:r>
      <w:r>
        <w:rPr>
          <w:rFonts w:hint="eastAsia" w:ascii="仿宋" w:hAnsi="仿宋" w:eastAsia="仿宋" w:cs="仿宋"/>
          <w:b/>
          <w:bCs/>
          <w:color w:val="000000"/>
          <w:sz w:val="28"/>
          <w:szCs w:val="28"/>
        </w:rPr>
        <w:t>山东金都电子材料有限公司</w:t>
      </w:r>
      <w:r>
        <w:rPr>
          <w:rFonts w:hint="default" w:ascii="仿宋" w:hAnsi="仿宋" w:eastAsia="仿宋" w:cs="仿宋"/>
          <w:b/>
          <w:bCs/>
          <w:color w:val="000000"/>
          <w:sz w:val="28"/>
          <w:szCs w:val="28"/>
        </w:rPr>
        <w:t>：</w:t>
      </w:r>
    </w:p>
    <w:p w14:paraId="570A4641">
      <w:pPr>
        <w:numPr>
          <w:ilvl w:val="0"/>
          <w:numId w:val="0"/>
        </w:numPr>
        <w:ind w:firstLine="560" w:firstLineChars="200"/>
        <w:rPr>
          <w:rFonts w:hint="eastAsia" w:ascii="仿宋" w:hAnsi="仿宋" w:eastAsia="仿宋" w:cs="仿宋"/>
          <w:sz w:val="28"/>
          <w:szCs w:val="36"/>
          <w:lang w:val="en-US" w:eastAsia="zh-CN"/>
        </w:rPr>
      </w:pPr>
      <w:r>
        <w:rPr>
          <w:rFonts w:hint="eastAsia" w:ascii="仿宋" w:hAnsi="仿宋" w:eastAsia="仿宋" w:cs="仿宋"/>
          <w:color w:val="000000"/>
          <w:sz w:val="28"/>
          <w:szCs w:val="28"/>
        </w:rPr>
        <w:t>山东金都电子材料有限公司位于烟台招远市开发区金晖路229号，成立于2006年6月21日，年产7000吨/年电解铜箔</w:t>
      </w:r>
      <w:r>
        <w:rPr>
          <w:rFonts w:hint="eastAsia" w:ascii="仿宋" w:hAnsi="仿宋" w:eastAsia="仿宋" w:cs="仿宋"/>
          <w:color w:val="000000"/>
          <w:sz w:val="28"/>
          <w:szCs w:val="28"/>
          <w:lang w:eastAsia="zh-CN"/>
        </w:rPr>
        <w:t>，</w:t>
      </w:r>
      <w:r>
        <w:rPr>
          <w:rFonts w:hint="eastAsia" w:ascii="仿宋" w:hAnsi="仿宋" w:eastAsia="仿宋" w:cs="仿宋"/>
          <w:sz w:val="28"/>
          <w:szCs w:val="36"/>
          <w:lang w:val="en-US" w:eastAsia="zh-CN"/>
        </w:rPr>
        <w:t>占地面积37216㎡，建筑面积25636㎡。</w:t>
      </w:r>
      <w:r>
        <w:rPr>
          <w:rFonts w:hint="eastAsia" w:ascii="仿宋" w:hAnsi="仿宋" w:eastAsia="仿宋" w:cs="仿宋"/>
          <w:b/>
          <w:bCs/>
          <w:sz w:val="28"/>
          <w:szCs w:val="36"/>
          <w:lang w:val="en-US" w:eastAsia="zh-CN"/>
        </w:rPr>
        <w:t>金都公司</w:t>
      </w:r>
      <w:r>
        <w:rPr>
          <w:rFonts w:hint="eastAsia" w:ascii="仿宋" w:hAnsi="仿宋" w:eastAsia="仿宋" w:cs="仿宋"/>
          <w:b/>
          <w:bCs/>
          <w:color w:val="000000" w:themeColor="text1"/>
          <w:sz w:val="28"/>
          <w:szCs w:val="36"/>
          <w:lang w:val="en-US" w:eastAsia="zh-CN"/>
          <w14:textFill>
            <w14:solidFill>
              <w14:schemeClr w14:val="tx1"/>
            </w14:solidFill>
          </w14:textFill>
        </w:rPr>
        <w:t>共337人。</w:t>
      </w:r>
    </w:p>
    <w:p w14:paraId="1AA40B58">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电子铜箔制造工艺流程：</w:t>
      </w:r>
      <w:r>
        <w:rPr>
          <w:rFonts w:hint="eastAsia" w:ascii="仿宋" w:hAnsi="仿宋" w:eastAsia="仿宋" w:cs="仿宋"/>
          <w:sz w:val="28"/>
          <w:szCs w:val="28"/>
          <w:highlight w:val="none"/>
        </w:rPr>
        <w:t>电子铜箔</w:t>
      </w:r>
      <w:r>
        <w:rPr>
          <w:rFonts w:hint="eastAsia" w:ascii="仿宋" w:hAnsi="仿宋" w:eastAsia="仿宋" w:cs="仿宋"/>
          <w:sz w:val="28"/>
          <w:szCs w:val="28"/>
        </w:rPr>
        <w:t>生产工艺流程分为四道工序，即溶铜造液工序、原箔制造工序、表面处理工序、分切检验工序。</w:t>
      </w:r>
    </w:p>
    <w:p w14:paraId="0B077519">
      <w:pPr>
        <w:jc w:val="center"/>
        <w:rPr>
          <w:rFonts w:hint="eastAsia" w:ascii="仿宋" w:hAnsi="仿宋" w:eastAsia="仿宋" w:cs="仿宋"/>
          <w:lang w:eastAsia="zh-CN"/>
        </w:rPr>
      </w:pPr>
      <w:r>
        <w:rPr>
          <w:rFonts w:hint="eastAsia" w:ascii="仿宋" w:hAnsi="仿宋" w:eastAsia="仿宋" w:cs="仿宋"/>
          <w:bCs/>
          <w:sz w:val="32"/>
          <w:lang w:val="en-US" w:eastAsia="zh-CN"/>
        </w:rPr>
        <w:drawing>
          <wp:inline distT="0" distB="0" distL="114300" distR="114300">
            <wp:extent cx="4822825" cy="2029460"/>
            <wp:effectExtent l="0" t="0" r="15875" b="8890"/>
            <wp:docPr id="3" name="图片 3" descr="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工艺流程"/>
                    <pic:cNvPicPr>
                      <a:picLocks noChangeAspect="1"/>
                    </pic:cNvPicPr>
                  </pic:nvPicPr>
                  <pic:blipFill>
                    <a:blip r:embed="rId5"/>
                    <a:stretch>
                      <a:fillRect/>
                    </a:stretch>
                  </pic:blipFill>
                  <pic:spPr>
                    <a:xfrm>
                      <a:off x="0" y="0"/>
                      <a:ext cx="4822825" cy="2029460"/>
                    </a:xfrm>
                    <a:prstGeom prst="rect">
                      <a:avLst/>
                    </a:prstGeom>
                    <a:noFill/>
                    <a:ln>
                      <a:noFill/>
                    </a:ln>
                  </pic:spPr>
                </pic:pic>
              </a:graphicData>
            </a:graphic>
          </wp:inline>
        </w:drawing>
      </w:r>
    </w:p>
    <w:p w14:paraId="4995B7FE">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 w:hAnsi="仿宋" w:eastAsia="仿宋" w:cs="仿宋"/>
          <w:b/>
          <w:bCs/>
          <w:sz w:val="28"/>
          <w:szCs w:val="36"/>
          <w:lang w:eastAsia="zh-CN"/>
        </w:rPr>
      </w:pPr>
      <w:r>
        <w:rPr>
          <w:rFonts w:hint="eastAsia" w:ascii="仿宋" w:hAnsi="仿宋" w:eastAsia="仿宋" w:cs="仿宋"/>
          <w:b/>
          <w:bCs/>
          <w:sz w:val="28"/>
          <w:szCs w:val="36"/>
          <w:lang w:eastAsia="zh-CN"/>
        </w:rPr>
        <w:t>二、对于职业健康查体机构要求：</w:t>
      </w:r>
    </w:p>
    <w:p w14:paraId="79AD5D6C">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jc w:val="both"/>
        <w:textAlignment w:val="auto"/>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1、查体机构应具有国家法规要求的查体资质，甲方要求查体时查体机构能派车派医护人员上门进行查体服务（查体机构在招远市区范围内的岗前和离岗查体可以不用派车，岗中查体必须派车到所在公司，市区范围以外的岗前、岗中和离岗查体均需派车到公司现场查体，每周不少于三次，不论人数多少均需到现场）。岗前查体机构需最晚于次日出具个人的岗前查体结果。岗中查体需到公司现场在五日内完成所有人员的职业健康查体，15日内出具查体报告。</w:t>
      </w:r>
    </w:p>
    <w:p w14:paraId="0B026F82">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2、能够出具卫健局审查合格的查体和复查报告。</w:t>
      </w:r>
    </w:p>
    <w:p w14:paraId="6B19BBF4">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3、免费为复查员工复查并出具复查报告，所有查体应在每月5号前出具岗前或离岗纸质查体报告，查体表应及时交给我公司。</w:t>
      </w:r>
    </w:p>
    <w:p w14:paraId="7BC8E1C6">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4、具备职业健康查体的相关资质。</w:t>
      </w:r>
    </w:p>
    <w:p w14:paraId="78BFA629">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5、根据我公司的组织架构为我公司建立查体数据库，方便查询，提供简洁明了的查体名单，查体名单要和查体表对应。</w:t>
      </w:r>
    </w:p>
    <w:p w14:paraId="61FE4383">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6、金宝公司每年岗中查体人数在800人左右，金都公司查体人数在300人左右，两个公司的岗前查体人数在400人作业，离岗查体人数估计在200人左右，该服务机构应能满足上述查体能力。</w:t>
      </w:r>
    </w:p>
    <w:p w14:paraId="4A12A01B">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查体日期方面，岗前和离岗尽快在我公司提出查体要求时间内安排查体，岗前要做到随时可以查体。两日内出具查体结果。岗中查体日期安排在8月份，查体机构应安排足够力量确保在5日内完成全员职业健康查体，并及时出具合格的查体表和查体报告。</w:t>
      </w:r>
    </w:p>
    <w:p w14:paraId="38E9D363">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8、查体</w:t>
      </w:r>
      <w:r>
        <w:rPr>
          <w:rFonts w:hint="eastAsia" w:ascii="仿宋" w:hAnsi="仿宋" w:eastAsia="仿宋" w:cs="仿宋"/>
          <w:b w:val="0"/>
          <w:bCs w:val="0"/>
          <w:sz w:val="28"/>
          <w:szCs w:val="28"/>
          <w:lang w:val="en-US" w:eastAsia="zh-Hans"/>
        </w:rPr>
        <w:t>分为</w:t>
      </w:r>
      <w:r>
        <w:rPr>
          <w:rFonts w:hint="eastAsia" w:ascii="仿宋" w:hAnsi="仿宋" w:eastAsia="仿宋" w:cs="仿宋"/>
          <w:b w:val="0"/>
          <w:bCs w:val="0"/>
          <w:sz w:val="28"/>
          <w:szCs w:val="28"/>
          <w:lang w:val="en-US" w:eastAsia="zh-CN"/>
        </w:rPr>
        <w:t>岗前、岗中和离岗查体三类，</w:t>
      </w:r>
      <w:r>
        <w:rPr>
          <w:rFonts w:hint="eastAsia" w:ascii="仿宋" w:hAnsi="仿宋" w:eastAsia="仿宋" w:cs="仿宋"/>
          <w:b/>
          <w:bCs/>
          <w:sz w:val="28"/>
          <w:szCs w:val="28"/>
          <w:lang w:val="en-US" w:eastAsia="zh-CN"/>
        </w:rPr>
        <w:t>其中岗前查体包含普通入职查体所有项目和铜箔、覆铜板接害因素对应的所有查体项目；</w:t>
      </w:r>
      <w:r>
        <w:rPr>
          <w:rFonts w:hint="eastAsia" w:ascii="仿宋" w:hAnsi="仿宋" w:eastAsia="仿宋" w:cs="仿宋"/>
          <w:b w:val="0"/>
          <w:bCs w:val="0"/>
          <w:sz w:val="28"/>
          <w:szCs w:val="28"/>
          <w:lang w:val="en-US" w:eastAsia="zh-CN"/>
        </w:rPr>
        <w:t>岗中和离岗查体参照年度场所检测报告中各岗位对应接害项目。（所有查体内容应该标准要求进行检查包含但不限于以下项目）</w:t>
      </w:r>
    </w:p>
    <w:p w14:paraId="439648BF">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一般入职体检项目：</w:t>
      </w:r>
    </w:p>
    <w:p w14:paraId="34AC29FC">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1.一般检查：视力、身高、体重、血压；</w:t>
      </w:r>
    </w:p>
    <w:p w14:paraId="2393B661">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2.化验室：血常规、肝功7项、肾功三项、乙肝五项（定性）、尿常规；</w:t>
      </w:r>
    </w:p>
    <w:p w14:paraId="49F2AF8D">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3.耳鼻喉科；</w:t>
      </w:r>
    </w:p>
    <w:p w14:paraId="18B3E1DB">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4.眼科：色盲图、裂隙灯；</w:t>
      </w:r>
    </w:p>
    <w:p w14:paraId="4B341840">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5.心电图；</w:t>
      </w:r>
    </w:p>
    <w:p w14:paraId="0A479D19">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6.内科；</w:t>
      </w:r>
    </w:p>
    <w:p w14:paraId="7FF21692">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7.外科；</w:t>
      </w:r>
    </w:p>
    <w:p w14:paraId="7F579937">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职业健康体检项目：</w:t>
      </w:r>
    </w:p>
    <w:p w14:paraId="5079E80C">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1.一般检查：视力、身高、体重、血压；</w:t>
      </w:r>
    </w:p>
    <w:p w14:paraId="423DD26C">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2.化验室：血常规、网织红细胞计数、肝功7项、肾功三项、乙肝五项（定性）、尿常规；</w:t>
      </w:r>
    </w:p>
    <w:p w14:paraId="5A6804C4">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3.耳鼻喉科；</w:t>
      </w:r>
    </w:p>
    <w:p w14:paraId="296DC28C">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4.眼科：色盲图、裂隙灯；</w:t>
      </w:r>
    </w:p>
    <w:p w14:paraId="065CF304">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5.心电图；</w:t>
      </w:r>
    </w:p>
    <w:p w14:paraId="17F7F15E">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6.内科；</w:t>
      </w:r>
    </w:p>
    <w:p w14:paraId="67F8BB9C">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7.外科；</w:t>
      </w:r>
    </w:p>
    <w:p w14:paraId="0B305087">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8.DR正位胸片；</w:t>
      </w:r>
    </w:p>
    <w:p w14:paraId="764E8048">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9.电测听；</w:t>
      </w:r>
    </w:p>
    <w:p w14:paraId="1BE7A02B">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10.肺通气功能检查；</w:t>
      </w:r>
    </w:p>
    <w:p w14:paraId="7D6AFCAF">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b w:val="0"/>
          <w:bCs w:val="0"/>
          <w:sz w:val="28"/>
          <w:szCs w:val="28"/>
          <w:lang w:val="en-US" w:eastAsia="zh-CN"/>
        </w:rPr>
        <w:t>11.职业健康检查问诊室；</w:t>
      </w:r>
    </w:p>
    <w:p w14:paraId="4B54D725">
      <w:pPr>
        <w:keepNext w:val="0"/>
        <w:keepLines w:val="0"/>
        <w:pageBreakBefore w:val="0"/>
        <w:widowControl w:val="0"/>
        <w:numPr>
          <w:ilvl w:val="0"/>
          <w:numId w:val="0"/>
        </w:numPr>
        <w:kinsoku/>
        <w:wordWrap/>
        <w:overflowPunct/>
        <w:topLinePunct w:val="0"/>
        <w:autoSpaceDE/>
        <w:autoSpaceDN/>
        <w:bidi w:val="0"/>
        <w:spacing w:line="50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三、接害因素：</w:t>
      </w:r>
    </w:p>
    <w:p w14:paraId="215B4466">
      <w:pPr>
        <w:pStyle w:val="9"/>
        <w:keepNext w:val="0"/>
        <w:keepLines w:val="0"/>
        <w:pageBreakBefore w:val="0"/>
        <w:widowControl w:val="0"/>
        <w:kinsoku/>
        <w:wordWrap/>
        <w:overflowPunct/>
        <w:topLinePunct w:val="0"/>
        <w:autoSpaceDE/>
        <w:autoSpaceDN/>
        <w:bidi w:val="0"/>
        <w:adjustRightInd w:val="0"/>
        <w:snapToGrid w:val="0"/>
        <w:spacing w:line="500" w:lineRule="exact"/>
        <w:ind w:firstLine="556"/>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sz w:val="28"/>
          <w:szCs w:val="28"/>
          <w:lang w:val="en-US" w:eastAsia="zh-CN"/>
        </w:rPr>
        <w:t>1、金宝公司</w:t>
      </w:r>
      <w:r>
        <w:rPr>
          <w:rFonts w:hint="eastAsia" w:ascii="仿宋" w:hAnsi="仿宋" w:eastAsia="仿宋" w:cs="仿宋"/>
          <w:color w:val="000000" w:themeColor="text1"/>
          <w:sz w:val="28"/>
          <w:szCs w:val="28"/>
          <w14:textFill>
            <w14:solidFill>
              <w14:schemeClr w14:val="tx1"/>
            </w14:solidFill>
          </w14:textFill>
        </w:rPr>
        <w:t>检测项目</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依据职业病危害识别，按照有职业接触限值和国家标准检测方法的职业病危害因素进行检测的原则，确定该</w:t>
      </w:r>
      <w:r>
        <w:rPr>
          <w:rFonts w:hint="eastAsia" w:ascii="仿宋" w:hAnsi="仿宋" w:eastAsia="仿宋" w:cs="仿宋"/>
          <w:color w:val="000000" w:themeColor="text1"/>
          <w:sz w:val="28"/>
          <w:szCs w:val="28"/>
          <w:lang w:eastAsia="zh-CN"/>
          <w14:textFill>
            <w14:solidFill>
              <w14:schemeClr w14:val="tx1"/>
            </w14:solidFill>
          </w14:textFill>
        </w:rPr>
        <w:t>作业场所</w:t>
      </w:r>
      <w:r>
        <w:rPr>
          <w:rFonts w:hint="eastAsia" w:ascii="仿宋" w:hAnsi="仿宋" w:eastAsia="仿宋" w:cs="仿宋"/>
          <w:color w:val="000000" w:themeColor="text1"/>
          <w:sz w:val="28"/>
          <w:szCs w:val="28"/>
          <w14:textFill>
            <w14:solidFill>
              <w14:schemeClr w14:val="tx1"/>
            </w14:solidFill>
          </w14:textFill>
        </w:rPr>
        <w:t>职业病危害现状评价现场检测项目为：</w:t>
      </w:r>
      <w:r>
        <w:rPr>
          <w:rFonts w:ascii="Times New Roman" w:hAnsi="Times New Roman" w:eastAsia="仿宋_GB2312" w:cs="Times New Roman"/>
          <w:color w:val="000000"/>
          <w:sz w:val="28"/>
          <w:szCs w:val="32"/>
          <w:highlight w:val="none"/>
        </w:rPr>
        <w:t>其他粉尘、木粉尘</w:t>
      </w:r>
      <w:r>
        <w:rPr>
          <w:rFonts w:ascii="Times New Roman" w:hAnsi="Times New Roman" w:eastAsia="仿宋_GB2312" w:cs="Times New Roman"/>
          <w:color w:val="auto"/>
          <w:sz w:val="28"/>
          <w:szCs w:val="32"/>
          <w:highlight w:val="none"/>
        </w:rPr>
        <w:t>、电焊烟尘、</w:t>
      </w:r>
      <w:r>
        <w:rPr>
          <w:rFonts w:ascii="Times New Roman" w:hAnsi="Times New Roman" w:eastAsia="仿宋_GB2312" w:cs="Times New Roman"/>
          <w:color w:val="000000"/>
          <w:sz w:val="28"/>
          <w:szCs w:val="32"/>
          <w:highlight w:val="none"/>
        </w:rPr>
        <w:t>活性炭粉尘、盐酸、</w:t>
      </w:r>
      <w:r>
        <w:rPr>
          <w:rFonts w:ascii="Times New Roman" w:hAnsi="Times New Roman" w:eastAsia="仿宋_GB2312" w:cs="Times New Roman"/>
          <w:color w:val="auto"/>
          <w:sz w:val="28"/>
          <w:szCs w:val="32"/>
          <w:highlight w:val="none"/>
        </w:rPr>
        <w:t>氢氧化钾、</w:t>
      </w:r>
      <w:r>
        <w:rPr>
          <w:rFonts w:ascii="Times New Roman" w:hAnsi="Times New Roman" w:eastAsia="仿宋_GB2312" w:cs="Times New Roman"/>
          <w:color w:val="000000"/>
          <w:sz w:val="28"/>
          <w:szCs w:val="32"/>
          <w:highlight w:val="none"/>
        </w:rPr>
        <w:t>氢氧化钠、甲醛、</w:t>
      </w:r>
      <w:r>
        <w:rPr>
          <w:rFonts w:hint="eastAsia" w:ascii="Times New Roman" w:hAnsi="Times New Roman" w:eastAsia="仿宋_GB2312" w:cs="Times New Roman"/>
          <w:color w:val="000000"/>
          <w:sz w:val="28"/>
          <w:szCs w:val="32"/>
          <w:highlight w:val="none"/>
          <w:lang w:eastAsia="zh-CN"/>
        </w:rPr>
        <w:t>可溶性镍化合物</w:t>
      </w:r>
      <w:r>
        <w:rPr>
          <w:rFonts w:ascii="Times New Roman" w:hAnsi="Times New Roman" w:eastAsia="仿宋_GB2312" w:cs="Times New Roman"/>
          <w:color w:val="000000"/>
          <w:sz w:val="28"/>
          <w:szCs w:val="32"/>
          <w:highlight w:val="none"/>
        </w:rPr>
        <w:t>、苯酚、</w:t>
      </w:r>
      <w:r>
        <w:rPr>
          <w:rFonts w:hint="default" w:ascii="Times New Roman" w:hAnsi="Times New Roman" w:eastAsia="仿宋_GB2312" w:cs="Times New Roman"/>
          <w:b w:val="0"/>
          <w:bCs w:val="0"/>
          <w:sz w:val="28"/>
          <w:szCs w:val="28"/>
        </w:rPr>
        <w:t>环己酮</w:t>
      </w:r>
      <w:r>
        <w:rPr>
          <w:rFonts w:ascii="Times New Roman" w:hAnsi="Times New Roman" w:eastAsia="仿宋_GB2312" w:cs="Times New Roman"/>
          <w:color w:val="000000"/>
          <w:sz w:val="28"/>
          <w:szCs w:val="32"/>
          <w:highlight w:val="none"/>
        </w:rPr>
        <w:t>、</w:t>
      </w:r>
      <w:r>
        <w:rPr>
          <w:rFonts w:hint="eastAsia" w:ascii="Times New Roman" w:hAnsi="Times New Roman" w:eastAsia="仿宋_GB2312" w:cs="Times New Roman"/>
          <w:color w:val="000000"/>
          <w:sz w:val="28"/>
          <w:szCs w:val="32"/>
          <w:highlight w:val="none"/>
          <w:lang w:eastAsia="zh-CN"/>
        </w:rPr>
        <w:t>N,N-二甲基甲酰胺</w:t>
      </w:r>
      <w:r>
        <w:rPr>
          <w:rFonts w:ascii="Times New Roman" w:hAnsi="Times New Roman" w:eastAsia="仿宋_GB2312" w:cs="Times New Roman"/>
          <w:color w:val="000000"/>
          <w:sz w:val="28"/>
          <w:szCs w:val="32"/>
          <w:highlight w:val="none"/>
        </w:rPr>
        <w:t>、三氧化铬、铬酸盐、</w:t>
      </w:r>
      <w:r>
        <w:rPr>
          <w:rFonts w:ascii="Times New Roman" w:hAnsi="Times New Roman" w:eastAsia="仿宋_GB2312" w:cs="Times New Roman"/>
          <w:color w:val="auto"/>
          <w:sz w:val="28"/>
          <w:szCs w:val="32"/>
          <w:highlight w:val="none"/>
        </w:rPr>
        <w:t>锰及其化合物</w:t>
      </w:r>
      <w:r>
        <w:rPr>
          <w:rFonts w:ascii="Times New Roman" w:hAnsi="Times New Roman" w:eastAsia="仿宋_GB2312" w:cs="Times New Roman"/>
          <w:color w:val="000000"/>
          <w:sz w:val="28"/>
          <w:szCs w:val="32"/>
          <w:highlight w:val="none"/>
        </w:rPr>
        <w:t>、过氧化氢、硫酸、</w:t>
      </w:r>
      <w:r>
        <w:rPr>
          <w:rFonts w:ascii="Times New Roman" w:hAnsi="Times New Roman" w:eastAsia="仿宋_GB2312" w:cs="Times New Roman"/>
          <w:color w:val="auto"/>
          <w:sz w:val="28"/>
          <w:szCs w:val="32"/>
          <w:highlight w:val="none"/>
        </w:rPr>
        <w:t>甲苯、甲醇、</w:t>
      </w:r>
      <w:r>
        <w:rPr>
          <w:rFonts w:ascii="Times New Roman" w:hAnsi="Times New Roman" w:eastAsia="仿宋_GB2312" w:cs="Times New Roman"/>
          <w:color w:val="000000"/>
          <w:sz w:val="28"/>
          <w:szCs w:val="32"/>
          <w:highlight w:val="none"/>
        </w:rPr>
        <w:t>丙酮、</w:t>
      </w:r>
      <w:r>
        <w:rPr>
          <w:rFonts w:hint="eastAsia" w:ascii="Times New Roman" w:hAnsi="Times New Roman" w:eastAsia="仿宋_GB2312" w:cs="Times New Roman"/>
          <w:color w:val="000000"/>
          <w:sz w:val="28"/>
          <w:szCs w:val="32"/>
          <w:highlight w:val="none"/>
          <w:lang w:eastAsia="zh-CN"/>
        </w:rPr>
        <w:t>2-丁酮</w:t>
      </w:r>
      <w:r>
        <w:rPr>
          <w:rFonts w:ascii="Times New Roman" w:hAnsi="Times New Roman" w:eastAsia="仿宋_GB2312" w:cs="Times New Roman"/>
          <w:color w:val="auto"/>
          <w:sz w:val="28"/>
          <w:szCs w:val="32"/>
          <w:highlight w:val="none"/>
        </w:rPr>
        <w:t>、乙酸、氮氧化物、</w:t>
      </w:r>
      <w:r>
        <w:rPr>
          <w:rFonts w:ascii="Times New Roman" w:hAnsi="Times New Roman" w:eastAsia="仿宋_GB2312" w:cs="Times New Roman"/>
          <w:color w:val="000000"/>
          <w:sz w:val="28"/>
          <w:szCs w:val="32"/>
          <w:highlight w:val="none"/>
        </w:rPr>
        <w:t>臭氧、一氧化碳、噪声、高温、工频电</w:t>
      </w:r>
      <w:r>
        <w:rPr>
          <w:rFonts w:hint="eastAsia" w:ascii="Times New Roman" w:hAnsi="Times New Roman" w:eastAsia="仿宋_GB2312" w:cs="Times New Roman"/>
          <w:color w:val="000000"/>
          <w:sz w:val="28"/>
          <w:szCs w:val="32"/>
          <w:highlight w:val="none"/>
          <w:lang w:val="en-US" w:eastAsia="zh-CN"/>
        </w:rPr>
        <w:t>磁</w:t>
      </w:r>
      <w:r>
        <w:rPr>
          <w:rFonts w:ascii="Times New Roman" w:hAnsi="Times New Roman" w:eastAsia="仿宋_GB2312" w:cs="Times New Roman"/>
          <w:color w:val="000000"/>
          <w:sz w:val="28"/>
          <w:szCs w:val="32"/>
          <w:highlight w:val="none"/>
        </w:rPr>
        <w:t>场、紫外辐射</w:t>
      </w:r>
    </w:p>
    <w:p w14:paraId="05C3A79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金都公司检测项目：</w:t>
      </w:r>
      <w:r>
        <w:rPr>
          <w:rFonts w:hint="eastAsia" w:ascii="仿宋" w:hAnsi="仿宋" w:eastAsia="仿宋" w:cs="仿宋"/>
          <w:color w:val="000000" w:themeColor="text1"/>
          <w:sz w:val="28"/>
          <w:szCs w:val="28"/>
          <w:lang w:val="zh-CN"/>
          <w14:textFill>
            <w14:solidFill>
              <w14:schemeClr w14:val="tx1"/>
            </w14:solidFill>
          </w14:textFill>
        </w:rPr>
        <w:t>按照《职业病危害因素分类目录》等国家职业卫生相关标准、规范，根据该公司产生的职业病危害因素可能存在的浓度（强度）大小、岗位工人接触机会、危害程度（能否发生职业病中毒事故和发生职业病）以及该项目的实际生产情况，确定</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其他粉尘、活性炭粉尘、电焊烟尘、硫酸、氢氧化钾、三氧化铬、可溶性镍化合物、氮氧化物、一氧化碳、臭氧、锰及其化合物、氢氧化钠、氢氧化钾、乙酸、高温、紫外辐射、工频电磁场、噪声</w:t>
      </w:r>
      <w:r>
        <w:rPr>
          <w:rFonts w:hint="eastAsia" w:ascii="仿宋" w:hAnsi="仿宋" w:eastAsia="仿宋" w:cs="仿宋"/>
          <w:color w:val="000000" w:themeColor="text1"/>
          <w:sz w:val="28"/>
          <w:szCs w:val="28"/>
          <w:lang w:val="zh-CN"/>
          <w14:textFill>
            <w14:solidFill>
              <w14:schemeClr w14:val="tx1"/>
            </w14:solidFill>
          </w14:textFill>
        </w:rPr>
        <w:t>为重点评价的职业病危害因素。</w:t>
      </w:r>
    </w:p>
    <w:p w14:paraId="26F8E228">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lang w:val="zh-CN"/>
        </w:rPr>
      </w:pPr>
    </w:p>
    <w:p w14:paraId="1DB27938">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、付款方式</w:t>
      </w:r>
    </w:p>
    <w:p w14:paraId="40F3E732">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岗前查体由查体机构直接收取，离岗查体每半年付款一次，（岗中查体结束后一个月内单独付款）开具金宝</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金都公司全额增值税发票，公司收到全额发票确认无误后，查体数量、结果、报告符合公司和政府部门要求后</w:t>
      </w:r>
      <w:r>
        <w:rPr>
          <w:rFonts w:hint="eastAsia" w:ascii="仿宋" w:hAnsi="仿宋" w:eastAsia="仿宋" w:cs="仿宋"/>
          <w:color w:val="000000" w:themeColor="text1"/>
          <w:sz w:val="28"/>
          <w:szCs w:val="28"/>
          <w:lang w:val="en-US" w:eastAsia="zh-CN"/>
          <w14:textFill>
            <w14:solidFill>
              <w14:schemeClr w14:val="tx1"/>
            </w14:solidFill>
          </w14:textFill>
        </w:rPr>
        <w:t>支付费用。（岗前和离岗查体每月出具一次纸质查体报告）</w:t>
      </w:r>
    </w:p>
    <w:p w14:paraId="48553380">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发票上的增值税发票税率必须同竞标时所报税率一致。</w:t>
      </w:r>
    </w:p>
    <w:p w14:paraId="21AAD78A">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、投标要求</w:t>
      </w:r>
    </w:p>
    <w:p w14:paraId="4ECD3079">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1、投标企业须具备独立法人资格，并具</w:t>
      </w:r>
      <w:r>
        <w:rPr>
          <w:rFonts w:hint="eastAsia" w:ascii="仿宋" w:hAnsi="仿宋" w:eastAsia="仿宋" w:cs="仿宋"/>
          <w:color w:val="000000" w:themeColor="text1"/>
          <w:sz w:val="28"/>
          <w:szCs w:val="28"/>
          <w:lang w:eastAsia="zh-CN"/>
          <w14:textFill>
            <w14:solidFill>
              <w14:schemeClr w14:val="tx1"/>
            </w14:solidFill>
          </w14:textFill>
        </w:rPr>
        <w:t>相关</w:t>
      </w:r>
      <w:r>
        <w:rPr>
          <w:rFonts w:hint="eastAsia" w:ascii="仿宋" w:hAnsi="仿宋" w:eastAsia="仿宋" w:cs="仿宋"/>
          <w:color w:val="000000" w:themeColor="text1"/>
          <w:sz w:val="28"/>
          <w:szCs w:val="28"/>
          <w14:textFill>
            <w14:solidFill>
              <w14:schemeClr w14:val="tx1"/>
            </w14:solidFill>
          </w14:textFill>
        </w:rPr>
        <w:t>资质</w:t>
      </w:r>
      <w:r>
        <w:rPr>
          <w:rFonts w:hint="eastAsia" w:ascii="仿宋" w:hAnsi="仿宋" w:eastAsia="仿宋" w:cs="仿宋"/>
          <w:color w:val="000000" w:themeColor="text1"/>
          <w:sz w:val="28"/>
          <w:szCs w:val="28"/>
          <w:lang w:eastAsia="zh-CN"/>
          <w14:textFill>
            <w14:solidFill>
              <w14:schemeClr w14:val="tx1"/>
            </w14:solidFill>
          </w14:textFill>
        </w:rPr>
        <w:t>，在行业内具有良好口碑。</w:t>
      </w:r>
    </w:p>
    <w:p w14:paraId="19A27AC7">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default"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2、报价方式</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Hans"/>
          <w14:textFill>
            <w14:solidFill>
              <w14:schemeClr w14:val="tx1"/>
            </w14:solidFill>
          </w14:textFill>
        </w:rPr>
        <w:t>综合单价</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val="en-US" w:eastAsia="zh-Hans"/>
          <w14:textFill>
            <w14:solidFill>
              <w14:schemeClr w14:val="tx1"/>
            </w14:solidFill>
          </w14:textFill>
        </w:rPr>
        <w:t>元</w:t>
      </w:r>
      <w:r>
        <w:rPr>
          <w:rFonts w:hint="default"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val="en-US" w:eastAsia="zh-Hans"/>
          <w14:textFill>
            <w14:solidFill>
              <w14:schemeClr w14:val="tx1"/>
            </w14:solidFill>
          </w14:textFill>
        </w:rPr>
        <w:t>人次</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，符合要求的机构中标。</w:t>
      </w:r>
    </w:p>
    <w:p w14:paraId="52B98DDD">
      <w:pPr>
        <w:pStyle w:val="3"/>
        <w:rPr>
          <w:rFonts w:hint="default"/>
          <w:lang w:val="en-US"/>
        </w:rPr>
      </w:pPr>
      <w:r>
        <w:rPr>
          <w:rFonts w:hint="eastAsia" w:ascii="仿宋" w:hAnsi="仿宋" w:eastAsia="仿宋" w:cs="仿宋"/>
          <w:color w:val="000000" w:themeColor="text1"/>
          <w:sz w:val="28"/>
          <w:szCs w:val="28"/>
          <w:lang w:val="en-US" w:eastAsia="zh-CN"/>
          <w14:textFill>
            <w14:solidFill>
              <w14:schemeClr w14:val="tx1"/>
            </w14:solidFill>
          </w14:textFill>
        </w:rPr>
        <w:t xml:space="preserve">    3、合同签订后双方无异议本合同有效期三年。如果我公司发现查体报告和查体表中有未按照查体要求查体的项目或者其他虚假行为，我公司有权拒绝支付该批次的查体费用或解除合同。</w:t>
      </w:r>
    </w:p>
    <w:p w14:paraId="09ED97C2">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fldChar w:fldCharType="begin"/>
      </w:r>
      <w:r>
        <w:rPr>
          <w:rFonts w:hint="eastAsia" w:ascii="仿宋" w:hAnsi="仿宋" w:eastAsia="仿宋" w:cs="仿宋"/>
          <w:color w:val="000000" w:themeColor="text1"/>
          <w:sz w:val="28"/>
          <w:szCs w:val="28"/>
          <w:lang w:val="en-US" w:eastAsia="zh-CN"/>
          <w14:textFill>
            <w14:solidFill>
              <w14:schemeClr w14:val="tx1"/>
            </w14:solidFill>
          </w14:textFill>
        </w:rPr>
        <w:instrText xml:space="preserve"> HYPERLINK "mailto:3、标书、报价单发至公司招标邮箱lwenling@chinajinbao.com" </w:instrText>
      </w:r>
      <w:r>
        <w:rPr>
          <w:rFonts w:hint="eastAsia" w:ascii="仿宋" w:hAnsi="仿宋" w:eastAsia="仿宋" w:cs="仿宋"/>
          <w:color w:val="000000" w:themeColor="text1"/>
          <w:sz w:val="28"/>
          <w:szCs w:val="28"/>
          <w:lang w:val="en-US" w:eastAsia="zh-CN"/>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、标书、报价单发至公司招标邮箱jinbao</w:t>
      </w:r>
      <w:r>
        <w:rPr>
          <w:rFonts w:hint="eastAsia" w:ascii="仿宋" w:hAnsi="仿宋" w:eastAsia="仿宋" w:cs="仿宋"/>
          <w:color w:val="000000" w:themeColor="text1"/>
          <w:sz w:val="28"/>
          <w:szCs w:val="28"/>
          <w:lang w:val="en-US" w:eastAsia="zh-CN"/>
          <w14:textFill>
            <w14:solidFill>
              <w14:schemeClr w14:val="tx1"/>
            </w14:solidFill>
          </w14:textFill>
        </w:rPr>
        <w:t>xb</w:t>
      </w:r>
      <w:r>
        <w:rPr>
          <w:rFonts w:hint="eastAsia" w:ascii="仿宋" w:hAnsi="仿宋" w:eastAsia="仿宋" w:cs="仿宋"/>
          <w:color w:val="000000" w:themeColor="text1"/>
          <w:sz w:val="28"/>
          <w:szCs w:val="28"/>
          <w14:textFill>
            <w14:solidFill>
              <w14:schemeClr w14:val="tx1"/>
            </w14:solidFill>
          </w14:textFill>
        </w:rPr>
        <w:t xml:space="preserve">@chinajinbao.com </w:t>
      </w:r>
      <w:bookmarkStart w:id="0" w:name="_GoBack"/>
      <w:bookmarkEnd w:id="0"/>
      <w:r>
        <w:rPr>
          <w:rFonts w:hint="eastAsia" w:ascii="仿宋" w:hAnsi="仿宋" w:eastAsia="仿宋" w:cs="仿宋"/>
          <w:color w:val="000000" w:themeColor="text1"/>
          <w:sz w:val="28"/>
          <w:szCs w:val="28"/>
          <w:lang w:val="en-US" w:eastAsia="zh-CN"/>
          <w14:textFill>
            <w14:solidFill>
              <w14:schemeClr w14:val="tx1"/>
            </w14:solidFill>
          </w14:textFill>
        </w:rPr>
        <w:fldChar w:fldCharType="end"/>
      </w:r>
      <w:r>
        <w:rPr>
          <w:rFonts w:hint="eastAsia" w:ascii="仿宋" w:hAnsi="仿宋" w:eastAsia="仿宋" w:cs="仿宋"/>
          <w:color w:val="000000" w:themeColor="text1"/>
          <w:sz w:val="28"/>
          <w:szCs w:val="28"/>
          <w:lang w:eastAsia="zh-CN"/>
          <w14:textFill>
            <w14:solidFill>
              <w14:schemeClr w14:val="tx1"/>
            </w14:solidFill>
          </w14:textFill>
        </w:rPr>
        <w:t>或者将密封好的纸质资料邮寄至招远市</w:t>
      </w:r>
      <w:r>
        <w:rPr>
          <w:rFonts w:hint="eastAsia" w:ascii="仿宋" w:hAnsi="仿宋" w:eastAsia="仿宋" w:cs="仿宋"/>
          <w:color w:val="000000" w:themeColor="text1"/>
          <w:sz w:val="28"/>
          <w:szCs w:val="28"/>
          <w:lang w:val="en-US" w:eastAsia="zh-CN"/>
          <w14:textFill>
            <w14:solidFill>
              <w14:schemeClr w14:val="tx1"/>
            </w14:solidFill>
          </w14:textFill>
        </w:rPr>
        <w:t>国大路268号采购部。</w:t>
      </w:r>
    </w:p>
    <w:p w14:paraId="03D5F3D7">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报价截止时间：2024</w:t>
      </w:r>
      <w:r>
        <w:rPr>
          <w:rFonts w:hint="eastAsia" w:ascii="仿宋" w:hAnsi="仿宋" w:eastAsia="仿宋" w:cs="仿宋"/>
          <w:b w:val="0"/>
          <w:bCs w:val="0"/>
          <w:sz w:val="28"/>
          <w:szCs w:val="28"/>
          <w:lang w:val="en-US" w:eastAsia="zh-CN"/>
        </w:rPr>
        <w:t>年12月27日8点前。</w:t>
      </w:r>
    </w:p>
    <w:p w14:paraId="7F1215B4">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sz w:val="28"/>
          <w:szCs w:val="28"/>
          <w:lang w:val="en-US" w:eastAsia="zh-CN"/>
        </w:rPr>
      </w:pPr>
    </w:p>
    <w:p w14:paraId="5A70A9B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textAlignment w:val="auto"/>
        <w:rPr>
          <w:rFonts w:hint="eastAsia" w:ascii="仿宋" w:hAnsi="仿宋" w:eastAsia="仿宋" w:cs="仿宋"/>
          <w:b w:val="0"/>
          <w:bCs w:val="0"/>
          <w:sz w:val="28"/>
          <w:szCs w:val="28"/>
          <w:lang w:val="en-US" w:eastAsia="zh-CN"/>
        </w:rPr>
      </w:pPr>
    </w:p>
    <w:p w14:paraId="0FBF2EC8">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商务报价</w:t>
      </w:r>
      <w:r>
        <w:rPr>
          <w:rFonts w:hint="eastAsia" w:ascii="仿宋" w:hAnsi="仿宋" w:eastAsia="仿宋" w:cs="仿宋"/>
          <w:sz w:val="28"/>
          <w:szCs w:val="28"/>
        </w:rPr>
        <w:t>联系人：</w:t>
      </w:r>
      <w:r>
        <w:rPr>
          <w:rFonts w:hint="eastAsia" w:ascii="仿宋" w:hAnsi="仿宋" w:eastAsia="仿宋" w:cs="仿宋"/>
          <w:sz w:val="28"/>
          <w:szCs w:val="28"/>
          <w:lang w:val="en-US" w:eastAsia="zh-CN"/>
        </w:rPr>
        <w:t xml:space="preserve"> 方秀芹  联系电话：13791289647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45DCD9EC">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技术咨询</w:t>
      </w:r>
      <w:r>
        <w:rPr>
          <w:rFonts w:hint="eastAsia" w:ascii="仿宋" w:hAnsi="仿宋" w:eastAsia="仿宋" w:cs="仿宋"/>
          <w:sz w:val="28"/>
          <w:szCs w:val="28"/>
          <w:lang w:val="en-US" w:eastAsia="zh-CN"/>
        </w:rPr>
        <w:t>联系人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邱伟杰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联系电话：</w:t>
      </w:r>
      <w:r>
        <w:rPr>
          <w:rFonts w:hint="eastAsia" w:ascii="仿宋" w:hAnsi="仿宋" w:eastAsia="仿宋" w:cs="仿宋"/>
          <w:sz w:val="28"/>
          <w:szCs w:val="28"/>
          <w:lang w:val="en-US" w:eastAsia="zh-CN"/>
        </w:rPr>
        <w:t>13963815938</w:t>
      </w:r>
    </w:p>
    <w:p w14:paraId="31490200">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lang w:val="en-US" w:eastAsia="zh-CN"/>
        </w:rPr>
      </w:pPr>
    </w:p>
    <w:p w14:paraId="195F9664">
      <w:pPr>
        <w:keepNext w:val="0"/>
        <w:keepLines w:val="0"/>
        <w:pageBreakBefore w:val="0"/>
        <w:widowControl w:val="0"/>
        <w:kinsoku/>
        <w:wordWrap/>
        <w:overflowPunct/>
        <w:topLinePunct w:val="0"/>
        <w:autoSpaceDE/>
        <w:autoSpaceDN/>
        <w:bidi w:val="0"/>
        <w:adjustRightInd/>
        <w:snapToGrid/>
        <w:spacing w:line="500" w:lineRule="exact"/>
        <w:ind w:left="6720" w:leftChars="0" w:hanging="6720" w:hangingChars="24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 xml:space="preserve"> 2024.12.23</w:t>
      </w:r>
    </w:p>
    <w:p w14:paraId="15765521">
      <w:pPr>
        <w:pStyle w:val="2"/>
        <w:rPr>
          <w:rFonts w:hint="default"/>
          <w:lang w:val="en-US" w:eastAsia="zh-CN"/>
        </w:rPr>
      </w:pPr>
    </w:p>
    <w:sectPr>
      <w:headerReference r:id="rId3" w:type="default"/>
      <w:pgSz w:w="11906" w:h="16838"/>
      <w:pgMar w:top="1417" w:right="1701" w:bottom="1134" w:left="1701"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0E50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NzkwZDY0ZmQ3ZTczMjUyMDRhMjU4ODY4Y2E3NzQifQ=="/>
  </w:docVars>
  <w:rsids>
    <w:rsidRoot w:val="2DA80A8A"/>
    <w:rsid w:val="00A63334"/>
    <w:rsid w:val="01D24C8B"/>
    <w:rsid w:val="0282798B"/>
    <w:rsid w:val="039B607A"/>
    <w:rsid w:val="039D7D05"/>
    <w:rsid w:val="0775C8C9"/>
    <w:rsid w:val="07E07E08"/>
    <w:rsid w:val="08A92B91"/>
    <w:rsid w:val="09AD52E6"/>
    <w:rsid w:val="0AA84197"/>
    <w:rsid w:val="0B25604C"/>
    <w:rsid w:val="0C573BDF"/>
    <w:rsid w:val="1174640F"/>
    <w:rsid w:val="13763F01"/>
    <w:rsid w:val="15661FDB"/>
    <w:rsid w:val="16360247"/>
    <w:rsid w:val="166820B3"/>
    <w:rsid w:val="18AD68E6"/>
    <w:rsid w:val="18E22BCD"/>
    <w:rsid w:val="1A4C514A"/>
    <w:rsid w:val="1AFC651B"/>
    <w:rsid w:val="1BB1662E"/>
    <w:rsid w:val="1D022009"/>
    <w:rsid w:val="1EEEB60D"/>
    <w:rsid w:val="1FBE5559"/>
    <w:rsid w:val="205B06AE"/>
    <w:rsid w:val="206B1801"/>
    <w:rsid w:val="212B5A2F"/>
    <w:rsid w:val="2218666B"/>
    <w:rsid w:val="22A65C09"/>
    <w:rsid w:val="25566ED9"/>
    <w:rsid w:val="25C96113"/>
    <w:rsid w:val="27473EFD"/>
    <w:rsid w:val="2A841ACB"/>
    <w:rsid w:val="2AA35184"/>
    <w:rsid w:val="2BF72F1B"/>
    <w:rsid w:val="2CD13804"/>
    <w:rsid w:val="2D6E42C0"/>
    <w:rsid w:val="2DA80A8A"/>
    <w:rsid w:val="2E5D389C"/>
    <w:rsid w:val="315F28B2"/>
    <w:rsid w:val="33D46213"/>
    <w:rsid w:val="34077B1C"/>
    <w:rsid w:val="34936269"/>
    <w:rsid w:val="36426FB5"/>
    <w:rsid w:val="38A03855"/>
    <w:rsid w:val="39001A22"/>
    <w:rsid w:val="39A21BC8"/>
    <w:rsid w:val="3C90131D"/>
    <w:rsid w:val="3C9F2A6A"/>
    <w:rsid w:val="3CA45C71"/>
    <w:rsid w:val="3CE07D0C"/>
    <w:rsid w:val="3D915310"/>
    <w:rsid w:val="3E5C4F91"/>
    <w:rsid w:val="3F1C3065"/>
    <w:rsid w:val="3F7716E0"/>
    <w:rsid w:val="406E07F4"/>
    <w:rsid w:val="40D968BF"/>
    <w:rsid w:val="41514457"/>
    <w:rsid w:val="42937916"/>
    <w:rsid w:val="43547FC2"/>
    <w:rsid w:val="44004F9E"/>
    <w:rsid w:val="444B9458"/>
    <w:rsid w:val="449C3AD4"/>
    <w:rsid w:val="46472A8C"/>
    <w:rsid w:val="47371F6A"/>
    <w:rsid w:val="49EC5AE1"/>
    <w:rsid w:val="4D353C03"/>
    <w:rsid w:val="4E5456C1"/>
    <w:rsid w:val="4FC97437"/>
    <w:rsid w:val="50FF0FE5"/>
    <w:rsid w:val="53015038"/>
    <w:rsid w:val="543B4D7C"/>
    <w:rsid w:val="54D63A0F"/>
    <w:rsid w:val="550E2B98"/>
    <w:rsid w:val="551D779F"/>
    <w:rsid w:val="55A40DFA"/>
    <w:rsid w:val="55AD7926"/>
    <w:rsid w:val="55FC1B5C"/>
    <w:rsid w:val="561A3C9D"/>
    <w:rsid w:val="57365F4E"/>
    <w:rsid w:val="5A857714"/>
    <w:rsid w:val="5AF31D8F"/>
    <w:rsid w:val="5B6058C0"/>
    <w:rsid w:val="5B9B692D"/>
    <w:rsid w:val="5BCF1086"/>
    <w:rsid w:val="5D1D4073"/>
    <w:rsid w:val="5D9B372D"/>
    <w:rsid w:val="5E961DF9"/>
    <w:rsid w:val="5F456DDD"/>
    <w:rsid w:val="5F6F6704"/>
    <w:rsid w:val="610E4F00"/>
    <w:rsid w:val="636E2ED0"/>
    <w:rsid w:val="63846BFA"/>
    <w:rsid w:val="63A83878"/>
    <w:rsid w:val="657278A2"/>
    <w:rsid w:val="65E355E1"/>
    <w:rsid w:val="662B15AE"/>
    <w:rsid w:val="676B2CF5"/>
    <w:rsid w:val="679160E0"/>
    <w:rsid w:val="68AF5CFA"/>
    <w:rsid w:val="68ED2997"/>
    <w:rsid w:val="691F4320"/>
    <w:rsid w:val="6A6477C6"/>
    <w:rsid w:val="6A8900C8"/>
    <w:rsid w:val="6BCE265D"/>
    <w:rsid w:val="6C271410"/>
    <w:rsid w:val="6D114E24"/>
    <w:rsid w:val="6D325918"/>
    <w:rsid w:val="6D450123"/>
    <w:rsid w:val="6D521BA1"/>
    <w:rsid w:val="6DC0129B"/>
    <w:rsid w:val="6DCF4F15"/>
    <w:rsid w:val="6FC330BC"/>
    <w:rsid w:val="707029DF"/>
    <w:rsid w:val="707878E9"/>
    <w:rsid w:val="733D7A75"/>
    <w:rsid w:val="73F97095"/>
    <w:rsid w:val="75C52EEB"/>
    <w:rsid w:val="75ED6320"/>
    <w:rsid w:val="76C27D9B"/>
    <w:rsid w:val="771855CA"/>
    <w:rsid w:val="79F81C8C"/>
    <w:rsid w:val="7B1D6286"/>
    <w:rsid w:val="7EB746B6"/>
    <w:rsid w:val="7FBB4360"/>
    <w:rsid w:val="7FEB1D5E"/>
    <w:rsid w:val="BBFD8D54"/>
    <w:rsid w:val="CB7C123A"/>
    <w:rsid w:val="CCFE3DA6"/>
    <w:rsid w:val="E7D8D26B"/>
    <w:rsid w:val="F7BD52D6"/>
    <w:rsid w:val="FD8F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360" w:lineRule="auto"/>
      <w:ind w:firstLine="560" w:firstLineChars="200"/>
    </w:pPr>
    <w:rPr>
      <w:rFonts w:asciiTheme="minorHAnsi" w:hAnsiTheme="minorHAnsi" w:eastAsiaTheme="minorEastAsia" w:cstheme="minorBidi"/>
      <w:sz w:val="28"/>
      <w:szCs w:val="22"/>
    </w:rPr>
  </w:style>
  <w:style w:type="paragraph" w:styleId="3">
    <w:name w:val="Document Map"/>
    <w:basedOn w:val="1"/>
    <w:qFormat/>
    <w:uiPriority w:val="0"/>
    <w:rPr>
      <w:rFonts w:ascii="宋体"/>
      <w:sz w:val="16"/>
      <w:szCs w:val="16"/>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paragraph" w:customStyle="1" w:styleId="8">
    <w:name w:val="正文内容"/>
    <w:basedOn w:val="1"/>
    <w:qFormat/>
    <w:uiPriority w:val="0"/>
    <w:pPr>
      <w:spacing w:line="360" w:lineRule="auto"/>
      <w:ind w:firstLine="560" w:firstLineChars="200"/>
    </w:pPr>
    <w:rPr>
      <w:rFonts w:asciiTheme="minorHAnsi" w:hAnsiTheme="minorHAnsi" w:eastAsiaTheme="minorEastAsia" w:cstheme="minorBidi"/>
      <w:sz w:val="28"/>
      <w:szCs w:val="22"/>
    </w:rPr>
  </w:style>
  <w:style w:type="paragraph" w:customStyle="1" w:styleId="9">
    <w:name w:val="报告书正文"/>
    <w:basedOn w:val="1"/>
    <w:qFormat/>
    <w:uiPriority w:val="0"/>
    <w:pPr>
      <w:spacing w:line="460" w:lineRule="exact"/>
      <w:ind w:firstLine="556"/>
    </w:pPr>
    <w:rPr>
      <w:rFonts w:eastAsia="仿宋_GB2312"/>
      <w:bCs/>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2333</Words>
  <Characters>2508</Characters>
  <Lines>0</Lines>
  <Paragraphs>0</Paragraphs>
  <TotalTime>1</TotalTime>
  <ScaleCrop>false</ScaleCrop>
  <LinksUpToDate>false</LinksUpToDate>
  <CharactersWithSpaces>2582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2018-08-03T23:17:00Z</dcterms:created>
  <dc:creator>杨军</dc:creator>
  <cp:lastModifiedBy>Administrator</cp:lastModifiedBy>
  <dcterms:modified xsi:type="dcterms:W3CDTF">2024-12-23T05:21:39Z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59EA1FA41E49879999D99F63C00CC2FD</vt:lpwstr>
  </property>
</Properties>
</file>