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黑体" w:eastAsia="黑体"/>
          <w:b/>
          <w:sz w:val="28"/>
          <w:szCs w:val="28"/>
        </w:rPr>
      </w:pPr>
      <w:r>
        <w:rPr>
          <w:rFonts w:hint="eastAsia" w:ascii="黑体" w:hAnsi="宋体" w:eastAsia="黑体"/>
          <w:b/>
          <w:sz w:val="28"/>
          <w:szCs w:val="28"/>
        </w:rPr>
        <w:t xml:space="preserve">   《</w:t>
      </w:r>
      <w:r>
        <w:rPr>
          <w:rFonts w:hint="eastAsia" w:ascii="黑体" w:hAnsi="宋体" w:eastAsia="黑体"/>
          <w:bCs/>
          <w:sz w:val="28"/>
          <w:szCs w:val="28"/>
        </w:rPr>
        <w:t>招标文</w:t>
      </w:r>
      <w:r>
        <w:rPr>
          <w:rFonts w:hint="eastAsia" w:ascii="宋体" w:hAnsi="宋体"/>
          <w:b/>
          <w:bCs/>
          <w:sz w:val="28"/>
          <w:szCs w:val="28"/>
        </w:rPr>
        <w:t>件</w:t>
      </w:r>
      <w:r>
        <w:rPr>
          <w:rFonts w:hint="eastAsia" w:ascii="黑体" w:hAnsi="宋体" w:eastAsia="黑体"/>
          <w:b/>
          <w:sz w:val="28"/>
          <w:szCs w:val="28"/>
        </w:rPr>
        <w:t>》</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铜箔品质提升续建项目板式换热器采购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山东金宝电子股份有限公司</w:t>
      </w:r>
    </w:p>
    <w:p>
      <w:pPr>
        <w:spacing w:line="360" w:lineRule="auto"/>
        <w:ind w:firstLine="1200" w:firstLineChars="400"/>
        <w:jc w:val="left"/>
        <w:rPr>
          <w:rFonts w:ascii="仿宋" w:hAnsi="仿宋" w:eastAsia="仿宋" w:cs="仿宋"/>
          <w:spacing w:val="10"/>
          <w:sz w:val="24"/>
          <w:u w:val="single"/>
        </w:rPr>
      </w:pP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300" w:firstLineChars="11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2022年08月26日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w:t>
      </w:r>
      <w:r>
        <w:rPr>
          <w:rFonts w:hint="eastAsia" w:ascii="仿宋" w:hAnsi="仿宋" w:eastAsia="仿宋" w:cs="仿宋"/>
          <w:b/>
          <w:bCs/>
          <w:spacing w:val="10"/>
          <w:sz w:val="28"/>
          <w:szCs w:val="28"/>
          <w:u w:val="single"/>
        </w:rPr>
        <w:t>铜箔品质提升续建项目板式换热器</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pStyle w:val="16"/>
        <w:numPr>
          <w:ilvl w:val="0"/>
          <w:numId w:val="1"/>
        </w:numPr>
        <w:spacing w:line="360" w:lineRule="auto"/>
        <w:ind w:right="70" w:firstLineChars="0"/>
        <w:rPr>
          <w:rFonts w:ascii="仿宋_GB2312" w:hAnsi="宋体" w:eastAsia="仿宋_GB2312"/>
          <w:sz w:val="28"/>
          <w:szCs w:val="28"/>
        </w:rPr>
      </w:pPr>
      <w:r>
        <w:rPr>
          <w:rFonts w:hint="eastAsia" w:ascii="仿宋_GB2312" w:hAnsi="宋体" w:eastAsia="仿宋_GB2312"/>
          <w:b/>
          <w:bCs/>
          <w:sz w:val="28"/>
          <w:szCs w:val="28"/>
        </w:rPr>
        <w:t>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rPr>
        <w:t>二、项目名称：板式换热器采购</w:t>
      </w:r>
    </w:p>
    <w:p>
      <w:pPr>
        <w:spacing w:line="360" w:lineRule="auto"/>
        <w:ind w:right="70"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C00000"/>
          <w:sz w:val="28"/>
          <w:szCs w:val="28"/>
          <w:lang w:val="en-US" w:eastAsia="zh-CN"/>
        </w:rPr>
      </w:pPr>
      <w:r>
        <w:rPr>
          <w:rFonts w:hint="eastAsia" w:ascii="仿宋_GB2312" w:eastAsia="仿宋_GB2312"/>
          <w:b/>
          <w:color w:val="C00000"/>
          <w:sz w:val="28"/>
          <w:szCs w:val="28"/>
        </w:rPr>
        <w:t>技术投标时间：2022.0</w:t>
      </w:r>
      <w:r>
        <w:rPr>
          <w:rFonts w:hint="eastAsia" w:ascii="仿宋_GB2312" w:eastAsia="仿宋_GB2312"/>
          <w:b/>
          <w:color w:val="C00000"/>
          <w:sz w:val="28"/>
          <w:szCs w:val="28"/>
          <w:lang w:val="en-US" w:eastAsia="zh-CN"/>
        </w:rPr>
        <w:t>9.7-2022.09.9</w:t>
      </w:r>
    </w:p>
    <w:p>
      <w:pPr>
        <w:spacing w:line="360" w:lineRule="auto"/>
        <w:ind w:firstLine="1124" w:firstLineChars="400"/>
        <w:rPr>
          <w:rFonts w:hint="default" w:ascii="仿宋_GB2312" w:eastAsia="仿宋_GB2312"/>
          <w:bCs/>
          <w:color w:val="C00000"/>
          <w:sz w:val="28"/>
          <w:szCs w:val="28"/>
          <w:lang w:val="en-US" w:eastAsia="zh-CN"/>
        </w:rPr>
      </w:pPr>
      <w:r>
        <w:rPr>
          <w:rFonts w:hint="eastAsia" w:ascii="仿宋_GB2312" w:eastAsia="仿宋_GB2312"/>
          <w:b/>
          <w:color w:val="C00000"/>
          <w:sz w:val="28"/>
          <w:szCs w:val="28"/>
        </w:rPr>
        <w:t>商务投标时间：2022.0</w:t>
      </w:r>
      <w:r>
        <w:rPr>
          <w:rFonts w:hint="eastAsia" w:ascii="仿宋_GB2312" w:eastAsia="仿宋_GB2312"/>
          <w:b/>
          <w:color w:val="C00000"/>
          <w:sz w:val="28"/>
          <w:szCs w:val="28"/>
          <w:lang w:val="en-US" w:eastAsia="zh-CN"/>
        </w:rPr>
        <w:t>9.11-2022.9.15</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 xml:space="preserve">联系方式：          13780923594 </w:t>
      </w:r>
    </w:p>
    <w:p>
      <w:pPr>
        <w:spacing w:line="360" w:lineRule="auto"/>
        <w:ind w:right="70" w:firstLine="1124" w:firstLineChars="400"/>
        <w:rPr>
          <w:rFonts w:ascii="仿宋" w:hAnsi="仿宋" w:eastAsia="仿宋" w:cs="仿宋"/>
          <w:b/>
          <w:bCs/>
          <w:sz w:val="28"/>
          <w:szCs w:val="28"/>
        </w:rPr>
      </w:pPr>
      <w:r>
        <w:rPr>
          <w:rFonts w:hint="eastAsia" w:ascii="仿宋_GB2312" w:hAnsi="宋体" w:eastAsia="仿宋_GB2312"/>
          <w:b/>
          <w:bCs/>
          <w:sz w:val="28"/>
          <w:szCs w:val="28"/>
        </w:rPr>
        <w:t>邮箱：</w:t>
      </w:r>
      <w:r>
        <w:rPr>
          <w:rFonts w:ascii="仿宋_GB2312" w:hAnsi="宋体" w:eastAsia="仿宋_GB2312"/>
          <w:b/>
          <w:bCs/>
          <w:sz w:val="28"/>
          <w:szCs w:val="28"/>
        </w:rPr>
        <w:t xml:space="preserve"> </w:t>
      </w:r>
      <w:r>
        <w:rPr>
          <w:rFonts w:hint="eastAsia" w:ascii="仿宋_GB2312" w:hAnsi="宋体" w:eastAsia="仿宋_GB2312"/>
          <w:b/>
          <w:bCs/>
          <w:sz w:val="28"/>
          <w:szCs w:val="28"/>
        </w:rPr>
        <w:t>yin8116376@163</w:t>
      </w:r>
      <w:r>
        <w:rPr>
          <w:rFonts w:hint="eastAsia" w:ascii="仿宋" w:hAnsi="仿宋" w:eastAsia="仿宋" w:cs="仿宋"/>
          <w:b/>
          <w:bCs/>
          <w:sz w:val="28"/>
          <w:szCs w:val="28"/>
        </w:rPr>
        <w:t>.com</w:t>
      </w:r>
    </w:p>
    <w:p>
      <w:pPr>
        <w:numPr>
          <w:ilvl w:val="0"/>
          <w:numId w:val="2"/>
        </w:numPr>
        <w:spacing w:line="360" w:lineRule="auto"/>
        <w:ind w:right="70" w:firstLine="562" w:firstLineChars="200"/>
        <w:rPr>
          <w:rFonts w:ascii="仿宋_GB2312" w:hAnsi="宋体" w:eastAsia="仿宋_GB2312"/>
          <w:color w:val="C00000"/>
          <w:sz w:val="28"/>
          <w:szCs w:val="28"/>
        </w:rPr>
      </w:pPr>
      <w:r>
        <w:rPr>
          <w:rFonts w:hint="eastAsia" w:ascii="仿宋_GB2312" w:hAnsi="宋体" w:eastAsia="仿宋_GB2312"/>
          <w:b/>
          <w:bCs/>
          <w:color w:val="C00000"/>
          <w:sz w:val="28"/>
          <w:szCs w:val="28"/>
        </w:rPr>
        <w:t>商务联系人：</w:t>
      </w:r>
      <w:r>
        <w:rPr>
          <w:rFonts w:hint="eastAsia" w:ascii="仿宋_GB2312" w:hAnsi="宋体" w:eastAsia="仿宋_GB2312"/>
          <w:color w:val="C00000"/>
          <w:sz w:val="28"/>
          <w:szCs w:val="28"/>
        </w:rPr>
        <w:t xml:space="preserve"> </w:t>
      </w:r>
      <w:r>
        <w:rPr>
          <w:rFonts w:hint="eastAsia" w:ascii="仿宋_GB2312" w:hAnsi="宋体" w:eastAsia="仿宋_GB2312"/>
          <w:color w:val="C00000"/>
          <w:sz w:val="28"/>
          <w:szCs w:val="28"/>
          <w:lang w:eastAsia="zh-CN"/>
        </w:rPr>
        <w:t>小方</w:t>
      </w:r>
      <w:r>
        <w:rPr>
          <w:rFonts w:hint="eastAsia" w:ascii="仿宋_GB2312" w:hAnsi="宋体" w:eastAsia="仿宋_GB2312"/>
          <w:color w:val="C00000"/>
          <w:sz w:val="28"/>
          <w:szCs w:val="28"/>
          <w:lang w:val="en-US" w:eastAsia="zh-CN"/>
        </w:rPr>
        <w:t>0535-2701503</w:t>
      </w:r>
      <w:bookmarkStart w:id="0" w:name="_GoBack"/>
      <w:bookmarkEnd w:id="0"/>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投标地点：</w:t>
      </w:r>
    </w:p>
    <w:p>
      <w:pPr>
        <w:numPr>
          <w:ilvl w:val="0"/>
          <w:numId w:val="2"/>
        </w:num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七、邮    编：</w:t>
      </w:r>
      <w:r>
        <w:rPr>
          <w:rFonts w:hint="eastAsia" w:ascii="仿宋_GB2312" w:hAnsi="宋体" w:eastAsia="仿宋_GB2312"/>
          <w:sz w:val="28"/>
          <w:szCs w:val="28"/>
        </w:rPr>
        <w:t>265400</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八、</w:t>
      </w:r>
      <w:r>
        <w:rPr>
          <w:rFonts w:hint="eastAsia" w:ascii="仿宋_GB2312" w:hAnsi="宋体" w:eastAsia="仿宋_GB2312"/>
          <w:b/>
          <w:bCs/>
          <w:color w:val="C00000"/>
          <w:sz w:val="28"/>
          <w:szCs w:val="28"/>
        </w:rPr>
        <w:t>投标保证金：</w:t>
      </w:r>
      <w:r>
        <w:rPr>
          <w:rFonts w:hint="eastAsia" w:ascii="仿宋_GB2312" w:hAnsi="宋体" w:eastAsia="仿宋_GB2312"/>
          <w:b/>
          <w:bCs/>
          <w:color w:val="C00000"/>
          <w:sz w:val="28"/>
          <w:szCs w:val="28"/>
          <w:lang w:val="en-US" w:eastAsia="zh-CN"/>
        </w:rPr>
        <w:t>5000</w:t>
      </w:r>
      <w:r>
        <w:rPr>
          <w:rFonts w:hint="eastAsia" w:ascii="仿宋_GB2312" w:hAnsi="宋体" w:eastAsia="仿宋_GB2312"/>
          <w:b/>
          <w:bCs/>
          <w:color w:val="C00000"/>
          <w:sz w:val="28"/>
          <w:szCs w:val="28"/>
        </w:rPr>
        <w:t xml:space="preserve">  元</w:t>
      </w:r>
    </w:p>
    <w:p>
      <w:pPr>
        <w:spacing w:line="360" w:lineRule="auto"/>
        <w:ind w:right="70" w:firstLine="562" w:firstLineChars="200"/>
        <w:rPr>
          <w:rFonts w:ascii="仿宋_GB2312" w:hAnsi="宋体" w:eastAsia="仿宋_GB2312"/>
          <w:b/>
          <w:bCs/>
          <w:color w:val="C00000"/>
          <w:sz w:val="28"/>
          <w:szCs w:val="28"/>
        </w:rPr>
      </w:pPr>
      <w:r>
        <w:rPr>
          <w:rFonts w:hint="eastAsia" w:ascii="仿宋_GB2312" w:hAnsi="宋体" w:eastAsia="仿宋_GB2312"/>
          <w:b/>
          <w:bCs/>
          <w:sz w:val="28"/>
          <w:szCs w:val="28"/>
        </w:rPr>
        <w:t xml:space="preserve">    </w:t>
      </w:r>
      <w:r>
        <w:rPr>
          <w:rFonts w:hint="eastAsia" w:ascii="仿宋_GB2312" w:hAnsi="宋体" w:eastAsia="仿宋_GB2312"/>
          <w:b/>
          <w:bCs/>
          <w:color w:val="C00000"/>
          <w:sz w:val="28"/>
          <w:szCs w:val="28"/>
        </w:rPr>
        <w:t>汇款资料：</w:t>
      </w:r>
    </w:p>
    <w:p>
      <w:pPr>
        <w:spacing w:line="440" w:lineRule="exact"/>
        <w:ind w:firstLine="1405" w:firstLineChars="500"/>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单位名称：山东金宝电子股份有限公司</w:t>
      </w:r>
    </w:p>
    <w:p>
      <w:pPr>
        <w:widowControl/>
        <w:ind w:firstLine="1405" w:firstLineChars="500"/>
        <w:jc w:val="left"/>
        <w:rPr>
          <w:rFonts w:ascii="仿宋_GB2312" w:hAnsi="仿宋_GB2312" w:eastAsia="仿宋_GB2312" w:cs="仿宋_GB2312"/>
          <w:b/>
          <w:bCs/>
          <w:color w:val="C00000"/>
          <w:sz w:val="28"/>
          <w:szCs w:val="28"/>
        </w:rPr>
      </w:pPr>
      <w:r>
        <w:rPr>
          <w:rFonts w:hint="eastAsia" w:ascii="仿宋_GB2312" w:hAnsi="仿宋_GB2312" w:eastAsia="仿宋_GB2312" w:cs="仿宋_GB2312"/>
          <w:b/>
          <w:bCs/>
          <w:color w:val="C00000"/>
          <w:sz w:val="28"/>
          <w:szCs w:val="28"/>
        </w:rPr>
        <w:t>帐    号：5000 6473 3510 017</w:t>
      </w:r>
    </w:p>
    <w:p>
      <w:pPr>
        <w:widowControl/>
        <w:ind w:firstLine="1405" w:firstLineChars="500"/>
        <w:jc w:val="left"/>
      </w:pPr>
      <w:r>
        <w:rPr>
          <w:rFonts w:hint="eastAsia" w:ascii="仿宋_GB2312" w:hAnsi="仿宋_GB2312" w:eastAsia="仿宋_GB2312" w:cs="仿宋_GB2312"/>
          <w:b/>
          <w:bCs/>
          <w:color w:val="C00000"/>
          <w:sz w:val="28"/>
          <w:szCs w:val="28"/>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开标需要先进行技术投标，确定技术方案，再进行商务投标，未确定技术方案的商务投标，开标时一律作废。</w:t>
      </w:r>
    </w:p>
    <w:p>
      <w:pPr>
        <w:spacing w:line="360" w:lineRule="auto"/>
        <w:ind w:right="70" w:firstLine="562" w:firstLineChars="200"/>
        <w:rPr>
          <w:rFonts w:ascii="仿宋_GB2312" w:hAnsi="宋体" w:eastAsia="仿宋_GB2312"/>
          <w:b/>
          <w:bCs/>
          <w:sz w:val="28"/>
          <w:szCs w:val="28"/>
        </w:rPr>
      </w:pPr>
      <w:r>
        <w:rPr>
          <w:rFonts w:hint="eastAsia" w:ascii="仿宋_GB2312" w:hAnsi="宋体" w:eastAsia="仿宋_GB2312"/>
          <w:b/>
          <w:bCs/>
          <w:sz w:val="28"/>
          <w:szCs w:val="28"/>
          <w:highlight w:val="yellow"/>
        </w:rPr>
        <w:t>技术投标需要将技术方案以邮件的形式发送到我公司技术联系人的邮箱中</w:t>
      </w:r>
      <w:r>
        <w:rPr>
          <w:rFonts w:hint="eastAsia" w:ascii="仿宋_GB2312" w:hAnsi="宋体" w:eastAsia="仿宋_GB2312"/>
          <w:b/>
          <w:bCs/>
          <w:sz w:val="28"/>
          <w:szCs w:val="28"/>
        </w:rPr>
        <w:t>（联系人：</w:t>
      </w:r>
      <w:r>
        <w:rPr>
          <w:rFonts w:hint="eastAsia" w:ascii="仿宋_GB2312" w:hAnsi="宋体" w:eastAsia="仿宋_GB2312"/>
          <w:b/>
          <w:bCs/>
          <w:sz w:val="28"/>
          <w:szCs w:val="28"/>
          <w:lang w:eastAsia="zh-CN"/>
        </w:rPr>
        <w:t>尹瑞权</w:t>
      </w:r>
      <w:r>
        <w:rPr>
          <w:rFonts w:hint="eastAsia" w:ascii="仿宋_GB2312" w:hAnsi="宋体" w:eastAsia="仿宋_GB2312"/>
          <w:b/>
          <w:bCs/>
          <w:sz w:val="28"/>
          <w:szCs w:val="28"/>
        </w:rPr>
        <w:t>）</w:t>
      </w:r>
      <w:r>
        <w:rPr>
          <w:rFonts w:hint="eastAsia" w:ascii="仿宋_GB2312" w:hAnsi="宋体" w:eastAsia="仿宋_GB2312"/>
          <w:b/>
          <w:bCs/>
          <w:sz w:val="28"/>
          <w:szCs w:val="28"/>
          <w:highlight w:val="yellow"/>
        </w:rPr>
        <w:t>；商务投标可以将标书邮寄或直接送达商务投标地点</w:t>
      </w:r>
      <w:r>
        <w:rPr>
          <w:rFonts w:hint="eastAsia" w:ascii="仿宋_GB2312" w:hAnsi="宋体" w:eastAsia="仿宋_GB2312"/>
          <w:b/>
          <w:bCs/>
          <w:color w:val="C00000"/>
          <w:sz w:val="28"/>
          <w:szCs w:val="28"/>
          <w:highlight w:val="yellow"/>
        </w:rPr>
        <w:t>（联系人：</w:t>
      </w:r>
      <w:r>
        <w:rPr>
          <w:rFonts w:hint="eastAsia" w:ascii="仿宋_GB2312" w:hAnsi="宋体" w:eastAsia="仿宋_GB2312"/>
          <w:b/>
          <w:bCs/>
          <w:color w:val="C00000"/>
          <w:sz w:val="28"/>
          <w:szCs w:val="28"/>
          <w:highlight w:val="yellow"/>
          <w:lang w:eastAsia="zh-CN"/>
        </w:rPr>
        <w:t>小方</w:t>
      </w:r>
      <w:r>
        <w:rPr>
          <w:rFonts w:hint="eastAsia" w:ascii="仿宋_GB2312" w:hAnsi="宋体" w:eastAsia="仿宋_GB2312"/>
          <w:b/>
          <w:bCs/>
          <w:color w:val="C00000"/>
          <w:sz w:val="28"/>
          <w:szCs w:val="28"/>
          <w:highlight w:val="yellow"/>
        </w:rPr>
        <w:t>）</w:t>
      </w:r>
      <w:r>
        <w:rPr>
          <w:rFonts w:hint="eastAsia" w:ascii="仿宋_GB2312" w:hAnsi="宋体" w:eastAsia="仿宋_GB2312"/>
          <w:b/>
          <w:bCs/>
          <w:sz w:val="28"/>
          <w:szCs w:val="28"/>
          <w:highlight w:val="yellow"/>
        </w:rPr>
        <w:t>，标书务必要密封。</w:t>
      </w: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firstLine="562" w:firstLineChars="20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第一部分   投标须知</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投标要求</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4、在参与本次招标过程中出现以下情况或行为，将取消其投标资格且不予返还投标保证金：</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①采取弄虚作假的方式，提供虚假的信息或资料；</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②存在不正当竞争，如：串标、陪标现象；</w:t>
      </w:r>
    </w:p>
    <w:p>
      <w:pPr>
        <w:spacing w:line="360" w:lineRule="auto"/>
        <w:ind w:right="70" w:firstLine="642"/>
        <w:rPr>
          <w:rFonts w:ascii="仿宋_GB2312" w:hAnsi="宋体" w:eastAsia="仿宋_GB2312"/>
          <w:sz w:val="28"/>
          <w:szCs w:val="28"/>
          <w:highlight w:val="yellow"/>
        </w:rPr>
      </w:pPr>
      <w:r>
        <w:rPr>
          <w:rFonts w:hint="eastAsia" w:ascii="仿宋_GB2312" w:hAnsi="仿宋_GB2312" w:eastAsia="仿宋_GB2312" w:cs="仿宋_GB2312"/>
          <w:sz w:val="28"/>
          <w:szCs w:val="28"/>
          <w:highlight w:val="yellow"/>
        </w:rPr>
        <w:t>③</w:t>
      </w:r>
      <w:r>
        <w:rPr>
          <w:rFonts w:hint="eastAsia" w:ascii="仿宋_GB2312" w:hAnsi="宋体" w:eastAsia="仿宋_GB2312"/>
          <w:sz w:val="28"/>
          <w:szCs w:val="28"/>
          <w:highlight w:val="yellow"/>
        </w:rPr>
        <w:t>存在贿赂、威胁、利诱等行为，妄图影响招标的真实性、公正性；（该行为将被记录在案，永久性取消投标资格。）</w:t>
      </w:r>
    </w:p>
    <w:p>
      <w:pPr>
        <w:numPr>
          <w:ilvl w:val="0"/>
          <w:numId w:val="3"/>
        </w:numPr>
        <w:spacing w:line="360" w:lineRule="auto"/>
        <w:ind w:right="70"/>
        <w:rPr>
          <w:rFonts w:ascii="仿宋_GB2312" w:hAnsi="宋体" w:eastAsia="仿宋_GB2312"/>
          <w:b/>
          <w:bCs/>
          <w:sz w:val="28"/>
          <w:szCs w:val="28"/>
          <w:highlight w:val="yellow"/>
        </w:rPr>
      </w:pPr>
      <w:r>
        <w:rPr>
          <w:rFonts w:hint="eastAsia" w:ascii="仿宋_GB2312" w:hAnsi="宋体" w:eastAsia="仿宋_GB2312"/>
          <w:b/>
          <w:bCs/>
          <w:sz w:val="28"/>
          <w:szCs w:val="28"/>
          <w:highlight w:val="yellow"/>
        </w:rPr>
        <w:t>投标无效</w:t>
      </w:r>
    </w:p>
    <w:p>
      <w:p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有以下情形的投标文件，视为无效：</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逾期未送达投标文件的；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未按规定递交密封投标文件的；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投标文件的编制、内容与招标文件存在明显差异或不符的；</w:t>
      </w:r>
    </w:p>
    <w:p>
      <w:pPr>
        <w:numPr>
          <w:ilvl w:val="0"/>
          <w:numId w:val="4"/>
        </w:numPr>
        <w:spacing w:line="360" w:lineRule="auto"/>
        <w:ind w:right="70" w:firstLine="642"/>
        <w:rPr>
          <w:rFonts w:ascii="仿宋_GB2312" w:hAnsi="宋体" w:eastAsia="仿宋_GB2312"/>
          <w:sz w:val="28"/>
          <w:szCs w:val="28"/>
          <w:highlight w:val="yellow"/>
        </w:rPr>
      </w:pPr>
      <w:r>
        <w:rPr>
          <w:rFonts w:hint="eastAsia" w:ascii="仿宋_GB2312" w:hAnsi="宋体" w:eastAsia="仿宋_GB2312"/>
          <w:sz w:val="28"/>
          <w:szCs w:val="28"/>
          <w:highlight w:val="yellow"/>
        </w:rPr>
        <w:t>未加盖公章或无授权委托书的；</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三、投标文件的构成</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1、资质文件；</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①营业执照</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②授权委托书</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③企业资质及行业认证文件资料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④产品专利</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w:t>
      </w:r>
      <w:r>
        <w:rPr>
          <w:rFonts w:hint="eastAsia" w:ascii="仿宋_GB2312" w:hAnsi="宋体" w:eastAsia="仿宋_GB2312"/>
          <w:b/>
          <w:sz w:val="28"/>
          <w:szCs w:val="28"/>
          <w:highlight w:val="yellow"/>
        </w:rPr>
        <w:t>实施案例</w:t>
      </w:r>
      <w:r>
        <w:rPr>
          <w:rFonts w:hint="eastAsia" w:ascii="仿宋_GB2312" w:hAnsi="宋体" w:eastAsia="仿宋_GB2312"/>
          <w:sz w:val="28"/>
          <w:szCs w:val="28"/>
        </w:rPr>
        <w:t>及相关资料；</w:t>
      </w:r>
    </w:p>
    <w:p>
      <w:pPr>
        <w:numPr>
          <w:ilvl w:val="0"/>
          <w:numId w:val="5"/>
        </w:num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项目方案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①设备设施配置、清单及详细资料</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②《项目解决方案及服务内容》</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③项目设计及实施方案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④项目实施进度计划及人员安排</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⑤售后服务方案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⑥应急预案</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4、报价</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rPr>
        <w:t>提交《项目设备配置报价》，包括但不限于品牌、规格、数量或工程量、单价、材质、增值税税费等。</w:t>
      </w:r>
    </w:p>
    <w:p>
      <w:pPr>
        <w:spacing w:line="360" w:lineRule="auto"/>
        <w:ind w:left="642"/>
        <w:rPr>
          <w:rFonts w:ascii="仿宋_GB2312" w:eastAsia="仿宋_GB2312"/>
          <w:sz w:val="28"/>
          <w:szCs w:val="28"/>
        </w:rPr>
      </w:pPr>
      <w:r>
        <w:rPr>
          <w:rFonts w:hint="eastAsia" w:ascii="仿宋_GB2312" w:eastAsia="仿宋_GB2312"/>
          <w:sz w:val="28"/>
          <w:szCs w:val="28"/>
        </w:rPr>
        <w:t>5、标书要求</w:t>
      </w:r>
    </w:p>
    <w:p>
      <w:pPr>
        <w:spacing w:line="360" w:lineRule="auto"/>
        <w:ind w:left="642"/>
        <w:rPr>
          <w:rFonts w:ascii="仿宋_GB2312" w:eastAsia="仿宋_GB2312"/>
          <w:sz w:val="28"/>
          <w:szCs w:val="28"/>
        </w:rPr>
      </w:pPr>
      <w:r>
        <w:rPr>
          <w:rFonts w:hint="eastAsia" w:ascii="仿宋_GB2312" w:eastAsia="仿宋_GB2312"/>
          <w:sz w:val="28"/>
          <w:szCs w:val="28"/>
        </w:rPr>
        <w:t>本招标项目要求投标者根据上述要求，将有关资料整理做成</w:t>
      </w:r>
    </w:p>
    <w:p>
      <w:pPr>
        <w:spacing w:line="360" w:lineRule="auto"/>
        <w:rPr>
          <w:rFonts w:ascii="仿宋_GB2312" w:hAnsi="宋体" w:eastAsia="仿宋_GB2312"/>
          <w:sz w:val="28"/>
          <w:szCs w:val="28"/>
        </w:rPr>
      </w:pPr>
      <w:r>
        <w:rPr>
          <w:rFonts w:hint="eastAsia" w:ascii="仿宋_GB2312" w:eastAsia="仿宋_GB2312"/>
          <w:sz w:val="28"/>
          <w:szCs w:val="28"/>
        </w:rPr>
        <w:t>标书，标</w:t>
      </w:r>
      <w:r>
        <w:rPr>
          <w:rFonts w:hint="eastAsia" w:ascii="仿宋_GB2312" w:hAnsi="华文细黑" w:eastAsia="仿宋_GB2312"/>
          <w:sz w:val="28"/>
          <w:szCs w:val="28"/>
        </w:rPr>
        <w:t>书要求一正一副</w:t>
      </w:r>
      <w:r>
        <w:rPr>
          <w:rFonts w:hint="eastAsia" w:ascii="仿宋_GB2312" w:eastAsia="仿宋_GB2312"/>
          <w:sz w:val="28"/>
          <w:szCs w:val="28"/>
        </w:rPr>
        <w:t>。</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四、保密</w:t>
      </w:r>
    </w:p>
    <w:p>
      <w:pPr>
        <w:spacing w:line="360" w:lineRule="auto"/>
        <w:ind w:right="70" w:firstLine="642"/>
        <w:rPr>
          <w:rFonts w:ascii="仿宋_GB2312" w:hAnsi="宋体" w:eastAsia="仿宋_GB2312"/>
          <w:sz w:val="28"/>
          <w:szCs w:val="28"/>
        </w:rPr>
      </w:pPr>
      <w:r>
        <w:rPr>
          <w:rFonts w:hint="eastAsia" w:ascii="仿宋_GB2312" w:hAnsi="宋体" w:eastAsia="仿宋_GB2312"/>
          <w:sz w:val="28"/>
          <w:szCs w:val="28"/>
          <w:highlight w:val="yellow"/>
        </w:rPr>
        <w:t>招标人提供的招标文件及涉及的所有资料，投标人不得向第三方透露。给招标人造成损失的，将依法追究法律责任。</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1、付款形式：（电子）承兑汇票；</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2.1、①预付款30%；②安装完成验收合格付款60%；③质保金10%（一</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年后付清）；</w:t>
      </w:r>
      <w:r>
        <w:rPr>
          <w:rFonts w:hint="eastAsia" w:ascii="仿宋_GB2312" w:hAnsi="宋体" w:eastAsia="仿宋_GB2312"/>
          <w:sz w:val="28"/>
          <w:szCs w:val="28"/>
          <w:highlight w:val="yellow"/>
        </w:rPr>
        <w:t>预付款，需开具同等金额银行履约保函后才能付款。</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2.2、①到货安装完成验收合格付款90%；②质保金10%（一年后付清）。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2.3、或者比上述两者更优越的付款条件。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u w:val="single"/>
        </w:rPr>
        <w:t>20日</w:t>
      </w:r>
      <w:r>
        <w:rPr>
          <w:rFonts w:hint="eastAsia" w:ascii="仿宋_GB2312" w:hAnsi="宋体" w:eastAsia="仿宋_GB2312"/>
          <w:sz w:val="28"/>
          <w:szCs w:val="28"/>
        </w:rPr>
        <w:t>。</w:t>
      </w:r>
    </w:p>
    <w:p>
      <w:pPr>
        <w:pStyle w:val="16"/>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2、交货地点：铜箔金晖路厂</w:t>
      </w: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6"/>
        <w:numPr>
          <w:ilvl w:val="0"/>
          <w:numId w:val="1"/>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781" w:type="dxa"/>
        <w:tblInd w:w="39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9"/>
        <w:gridCol w:w="850"/>
        <w:gridCol w:w="1418"/>
        <w:gridCol w:w="850"/>
        <w:gridCol w:w="709"/>
        <w:gridCol w:w="850"/>
        <w:gridCol w:w="1560"/>
        <w:gridCol w:w="708"/>
        <w:gridCol w:w="709"/>
        <w:gridCol w:w="709"/>
        <w:gridCol w:w="7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9"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  号</w:t>
            </w:r>
          </w:p>
        </w:tc>
        <w:tc>
          <w:tcPr>
            <w:tcW w:w="850" w:type="dxa"/>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介质</w:t>
            </w:r>
          </w:p>
        </w:tc>
        <w:tc>
          <w:tcPr>
            <w:tcW w:w="709" w:type="dxa"/>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板片材质</w:t>
            </w:r>
          </w:p>
        </w:tc>
        <w:tc>
          <w:tcPr>
            <w:tcW w:w="850" w:type="dxa"/>
            <w:vAlign w:val="center"/>
          </w:tcPr>
          <w:p>
            <w:pPr>
              <w:widowControl/>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密封圈材质</w:t>
            </w:r>
          </w:p>
        </w:tc>
        <w:tc>
          <w:tcPr>
            <w:tcW w:w="156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技术参数</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709" w:type="dxa"/>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单价</w:t>
            </w:r>
          </w:p>
        </w:tc>
        <w:tc>
          <w:tcPr>
            <w:tcW w:w="709" w:type="dxa"/>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总价</w:t>
            </w:r>
          </w:p>
        </w:tc>
        <w:tc>
          <w:tcPr>
            <w:tcW w:w="709" w:type="dxa"/>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BR0.6B-55m2-TI1</w:t>
            </w:r>
          </w:p>
        </w:tc>
        <w:tc>
          <w:tcPr>
            <w:tcW w:w="850" w:type="dxa"/>
            <w:vAlign w:val="center"/>
          </w:tcPr>
          <w:p>
            <w:pPr>
              <w:widowControl/>
              <w:spacing w:line="400" w:lineRule="exact"/>
              <w:jc w:val="center"/>
              <w:rPr>
                <w:rFonts w:ascii="仿宋_GB2312" w:hAnsi="仿宋_GB2312" w:eastAsia="仿宋_GB2312" w:cs="仿宋_GB2312"/>
                <w:szCs w:val="21"/>
              </w:rPr>
            </w:pPr>
            <w:r>
              <w:rPr>
                <w:rFonts w:ascii="仿宋_GB2312" w:hAnsi="仿宋_GB2312" w:eastAsia="仿宋_GB2312" w:cs="仿宋_GB2312"/>
                <w:szCs w:val="21"/>
              </w:rPr>
              <w:t>硫酸铜溶液</w:t>
            </w:r>
          </w:p>
        </w:tc>
        <w:tc>
          <w:tcPr>
            <w:tcW w:w="709" w:type="dxa"/>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Ti</w:t>
            </w:r>
          </w:p>
        </w:tc>
        <w:tc>
          <w:tcPr>
            <w:tcW w:w="8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EPDM</w:t>
            </w:r>
          </w:p>
        </w:tc>
        <w:tc>
          <w:tcPr>
            <w:tcW w:w="1560" w:type="dxa"/>
            <w:tcMar>
              <w:top w:w="0" w:type="dxa"/>
              <w:left w:w="108" w:type="dxa"/>
              <w:bottom w:w="0" w:type="dxa"/>
              <w:right w:w="108" w:type="dxa"/>
            </w:tcMar>
          </w:tcPr>
          <w:p>
            <w:pPr>
              <w:widowControl/>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流量150m3/h,换热面积55m2 口径DN150</w:t>
            </w:r>
          </w:p>
        </w:tc>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c>
          <w:tcPr>
            <w:tcW w:w="709" w:type="dxa"/>
          </w:tcPr>
          <w:p>
            <w:pPr>
              <w:widowControl/>
              <w:spacing w:line="400" w:lineRule="exact"/>
              <w:rPr>
                <w:rFonts w:ascii="仿宋_GB2312" w:hAnsi="仿宋_GB2312" w:eastAsia="仿宋_GB2312" w:cs="仿宋_GB2312"/>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45" w:hRule="atLeast"/>
        </w:trPr>
        <w:tc>
          <w:tcPr>
            <w:tcW w:w="709" w:type="dxa"/>
            <w:tcMar>
              <w:top w:w="0" w:type="dxa"/>
              <w:left w:w="108" w:type="dxa"/>
              <w:bottom w:w="0" w:type="dxa"/>
              <w:right w:w="108" w:type="dxa"/>
            </w:tcMar>
            <w:vAlign w:val="center"/>
          </w:tcPr>
          <w:p>
            <w:pPr>
              <w:widowControl/>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850"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板式换热器</w:t>
            </w:r>
          </w:p>
        </w:tc>
        <w:tc>
          <w:tcPr>
            <w:tcW w:w="141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Cs w:val="21"/>
              </w:rPr>
            </w:pPr>
            <w:r>
              <w:rPr>
                <w:rFonts w:hint="eastAsia" w:ascii="仿宋_GB2312" w:hAnsi="仿宋_GB2312" w:eastAsia="仿宋_GB2312" w:cs="仿宋_GB2312"/>
                <w:szCs w:val="21"/>
              </w:rPr>
              <w:t>BR0.6B-55m2-304</w:t>
            </w:r>
          </w:p>
        </w:tc>
        <w:tc>
          <w:tcPr>
            <w:tcW w:w="850" w:type="dxa"/>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水</w:t>
            </w:r>
          </w:p>
        </w:tc>
        <w:tc>
          <w:tcPr>
            <w:tcW w:w="709" w:type="dxa"/>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304</w:t>
            </w:r>
          </w:p>
        </w:tc>
        <w:tc>
          <w:tcPr>
            <w:tcW w:w="850" w:type="dxa"/>
            <w:vAlign w:val="center"/>
          </w:tcPr>
          <w:p>
            <w:pPr>
              <w:jc w:val="center"/>
              <w:rPr>
                <w:rFonts w:ascii="仿宋_GB2312" w:hAnsi="仿宋_GB2312" w:eastAsia="仿宋_GB2312" w:cs="仿宋_GB2312"/>
                <w:szCs w:val="21"/>
              </w:rPr>
            </w:pPr>
            <w:r>
              <w:rPr>
                <w:rFonts w:ascii="仿宋_GB2312" w:hAnsi="仿宋_GB2312" w:eastAsia="仿宋_GB2312" w:cs="仿宋_GB2312"/>
                <w:szCs w:val="21"/>
              </w:rPr>
              <w:t>EPDM</w:t>
            </w:r>
          </w:p>
        </w:tc>
        <w:tc>
          <w:tcPr>
            <w:tcW w:w="1560" w:type="dxa"/>
            <w:tcMar>
              <w:top w:w="0" w:type="dxa"/>
              <w:left w:w="108" w:type="dxa"/>
              <w:bottom w:w="0" w:type="dxa"/>
              <w:right w:w="108" w:type="dxa"/>
            </w:tcMar>
          </w:tcPr>
          <w:p>
            <w:pPr>
              <w:rPr>
                <w:rFonts w:ascii="仿宋_GB2312" w:hAnsi="仿宋_GB2312" w:eastAsia="仿宋_GB2312" w:cs="仿宋_GB2312"/>
                <w:szCs w:val="21"/>
              </w:rPr>
            </w:pPr>
            <w:r>
              <w:rPr>
                <w:rFonts w:hint="eastAsia" w:ascii="仿宋_GB2312" w:hAnsi="仿宋_GB2312" w:eastAsia="仿宋_GB2312" w:cs="仿宋_GB2312"/>
                <w:szCs w:val="21"/>
              </w:rPr>
              <w:t>流量150m3/h,换热面积55m2 口径DN150</w:t>
            </w:r>
          </w:p>
        </w:tc>
        <w:tc>
          <w:tcPr>
            <w:tcW w:w="708" w:type="dxa"/>
            <w:tcMar>
              <w:top w:w="0" w:type="dxa"/>
              <w:left w:w="108" w:type="dxa"/>
              <w:bottom w:w="0" w:type="dxa"/>
              <w:right w:w="108" w:type="dxa"/>
            </w:tcMar>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709" w:type="dxa"/>
          </w:tcPr>
          <w:p>
            <w:pPr>
              <w:widowControl/>
              <w:spacing w:line="400" w:lineRule="exact"/>
              <w:rPr>
                <w:rFonts w:hint="eastAsia" w:ascii="仿宋_GB2312" w:hAnsi="仿宋_GB2312" w:eastAsia="仿宋_GB2312" w:cs="仿宋_GB2312"/>
                <w:szCs w:val="21"/>
              </w:rPr>
            </w:pPr>
          </w:p>
        </w:tc>
        <w:tc>
          <w:tcPr>
            <w:tcW w:w="709" w:type="dxa"/>
          </w:tcPr>
          <w:p>
            <w:pPr>
              <w:widowControl/>
              <w:spacing w:line="400" w:lineRule="exact"/>
              <w:rPr>
                <w:rFonts w:hint="eastAsia" w:ascii="仿宋_GB2312" w:hAnsi="仿宋_GB2312" w:eastAsia="仿宋_GB2312" w:cs="仿宋_GB2312"/>
                <w:szCs w:val="21"/>
              </w:rPr>
            </w:pPr>
          </w:p>
        </w:tc>
        <w:tc>
          <w:tcPr>
            <w:tcW w:w="709" w:type="dxa"/>
          </w:tcPr>
          <w:p>
            <w:pPr>
              <w:widowControl/>
              <w:spacing w:line="400" w:lineRule="exact"/>
              <w:rPr>
                <w:rFonts w:hint="eastAsia" w:ascii="仿宋_GB2312" w:hAnsi="仿宋_GB2312" w:eastAsia="仿宋_GB2312" w:cs="仿宋_GB2312"/>
                <w:szCs w:val="21"/>
              </w:rPr>
            </w:pPr>
          </w:p>
        </w:tc>
      </w:tr>
    </w:tbl>
    <w:p>
      <w:pPr>
        <w:tabs>
          <w:tab w:val="left" w:pos="4680"/>
        </w:tabs>
        <w:snapToGrid w:val="0"/>
        <w:spacing w:line="360" w:lineRule="auto"/>
        <w:ind w:firstLine="480" w:firstLineChars="200"/>
        <w:rPr>
          <w:rFonts w:ascii="仿宋_GB2312" w:hAnsi="仿宋_GB2312" w:eastAsia="仿宋_GB2312" w:cs="仿宋_GB2312"/>
          <w:sz w:val="28"/>
          <w:szCs w:val="32"/>
        </w:rPr>
      </w:pPr>
      <w:r>
        <w:rPr>
          <w:rFonts w:hint="eastAsia" w:ascii="微软雅黑" w:hAnsi="微软雅黑" w:eastAsia="微软雅黑"/>
          <w:sz w:val="24"/>
        </w:rPr>
        <w:t>二、</w:t>
      </w:r>
      <w:r>
        <w:rPr>
          <w:rFonts w:hint="eastAsia" w:ascii="仿宋_GB2312" w:hAnsi="仿宋_GB2312" w:eastAsia="仿宋_GB2312" w:cs="仿宋_GB2312"/>
          <w:sz w:val="28"/>
          <w:szCs w:val="32"/>
        </w:rPr>
        <w:t>技术要求：</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w:t>
      </w:r>
      <w:r>
        <w:rPr>
          <w:rFonts w:hint="eastAsia"/>
        </w:rPr>
        <w:t xml:space="preserve"> </w:t>
      </w:r>
      <w:r>
        <w:rPr>
          <w:rFonts w:hint="eastAsia" w:ascii="仿宋_GB2312" w:hAnsi="仿宋_GB2312" w:eastAsia="仿宋_GB2312" w:cs="仿宋_GB2312"/>
          <w:sz w:val="28"/>
          <w:szCs w:val="32"/>
        </w:rPr>
        <w:t>招标方采购的板式换热器采用等截面可拆卸板式换热器（介质-水、水-水），投标方所提供的板式热交换器必须符合国家相关标准、规范要求，具备生产销售该类产品和进行有效售后服务的资格；</w:t>
      </w:r>
    </w:p>
    <w:p>
      <w:pPr>
        <w:ind w:left="210" w:leftChars="100" w:firstLine="560" w:firstLineChars="200"/>
        <w:rPr>
          <w:rFonts w:ascii="宋体" w:hAnsi="宋体" w:cs="宋体"/>
          <w:kern w:val="0"/>
          <w:sz w:val="20"/>
          <w:szCs w:val="20"/>
        </w:rPr>
      </w:pPr>
      <w:r>
        <w:rPr>
          <w:rFonts w:hint="eastAsia" w:ascii="仿宋_GB2312" w:hAnsi="仿宋_GB2312" w:eastAsia="仿宋_GB2312" w:cs="仿宋_GB2312"/>
          <w:sz w:val="28"/>
          <w:szCs w:val="32"/>
        </w:rPr>
        <w:t>2.技术参数及材质等见上表；</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3.板式换热器外部、内部保证不泄漏，介质与水禁止混流；</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4.板式换热器的运输、装卸车、吊装所需的工具等费用均由投标方负责；</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5.质保期1年；</w:t>
      </w:r>
    </w:p>
    <w:p>
      <w:pPr>
        <w:ind w:left="210" w:leftChars="100"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附：随机工具、易损件备件、操作手册、产品说明书、合格证等文本资料。</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三、保证条款</w:t>
      </w:r>
    </w:p>
    <w:p>
      <w:pPr>
        <w:pStyle w:val="16"/>
        <w:spacing w:line="360" w:lineRule="auto"/>
        <w:ind w:left="720" w:firstLine="560"/>
        <w:rPr>
          <w:rFonts w:ascii="仿宋" w:hAnsi="仿宋" w:eastAsia="仿宋" w:cs="仿宋"/>
          <w:kern w:val="0"/>
          <w:sz w:val="28"/>
          <w:szCs w:val="28"/>
        </w:rPr>
      </w:pPr>
      <w:r>
        <w:rPr>
          <w:rFonts w:hint="eastAsia" w:ascii="仿宋" w:hAnsi="仿宋" w:eastAsia="仿宋" w:cs="仿宋"/>
          <w:kern w:val="0"/>
          <w:sz w:val="28"/>
          <w:szCs w:val="28"/>
        </w:rPr>
        <w:t>中标方依据合同及招标方要求将标的运至招标方，招标方现场初步验收合格方可改造安装，如验收不合格中标方将标的物运回，并赔偿由此给招标方造成的全部损失，招标方有权自应付款中直接扣除，有权直接解除合同，且无需承担任何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四、交货期及运费</w:t>
      </w:r>
    </w:p>
    <w:p>
      <w:pPr>
        <w:pStyle w:val="16"/>
        <w:spacing w:line="360" w:lineRule="auto"/>
        <w:ind w:left="720" w:firstLine="560"/>
        <w:rPr>
          <w:rFonts w:ascii="仿宋" w:hAnsi="仿宋" w:eastAsia="仿宋" w:cs="仿宋"/>
          <w:kern w:val="0"/>
          <w:sz w:val="28"/>
          <w:szCs w:val="28"/>
        </w:rPr>
      </w:pPr>
      <w:r>
        <w:rPr>
          <w:rFonts w:hint="eastAsia" w:ascii="仿宋" w:hAnsi="仿宋" w:eastAsia="仿宋" w:cs="仿宋"/>
          <w:kern w:val="0"/>
          <w:sz w:val="28"/>
          <w:szCs w:val="28"/>
        </w:rPr>
        <w:t>交货期，自合同签订生效之日起20日。中标方负责到招标方的运输及费用。如逾期到货，按合同应按合同总值的20%支付违约金给买方，招标方可直接从货款中扣除。如招标方逾期付款，按合同标的金额千分之一/日支付违约金给卖方。</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五、有关知识产权</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pStyle w:val="16"/>
        <w:spacing w:line="360" w:lineRule="auto"/>
        <w:ind w:left="720" w:firstLine="0" w:firstLineChars="0"/>
        <w:rPr>
          <w:rFonts w:ascii="仿宋" w:hAnsi="仿宋" w:eastAsia="仿宋" w:cs="仿宋"/>
          <w:kern w:val="0"/>
          <w:sz w:val="28"/>
          <w:szCs w:val="28"/>
        </w:rPr>
      </w:pPr>
      <w:r>
        <w:rPr>
          <w:rFonts w:hint="eastAsia" w:ascii="仿宋" w:hAnsi="仿宋" w:eastAsia="仿宋" w:cs="仿宋"/>
          <w:kern w:val="0"/>
          <w:sz w:val="28"/>
          <w:szCs w:val="28"/>
        </w:rPr>
        <w:t>六、售后服务、质量保证：售后服务事项在合同中进行约定。</w:t>
      </w:r>
    </w:p>
    <w:p>
      <w:pPr>
        <w:pStyle w:val="16"/>
        <w:spacing w:line="360" w:lineRule="auto"/>
        <w:ind w:left="720" w:firstLine="0" w:firstLineChars="0"/>
        <w:rPr>
          <w:rFonts w:ascii="仿宋" w:hAnsi="仿宋" w:eastAsia="仿宋" w:cs="仿宋"/>
          <w:kern w:val="0"/>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docPartObj>
        <w:docPartGallery w:val="AutoText"/>
      </w:docPartObj>
    </w:sdtPr>
    <w:sdtContent>
      <w:p>
        <w:pPr>
          <w:pStyle w:val="6"/>
          <w:jc w:val="center"/>
        </w:pPr>
        <w:r>
          <w:fldChar w:fldCharType="begin"/>
        </w:r>
        <w:r>
          <w:instrText xml:space="preserve">PAGE   \* MERGEFORMAT</w:instrText>
        </w:r>
        <w:r>
          <w:fldChar w:fldCharType="separate"/>
        </w:r>
        <w:r>
          <w:rPr>
            <w:lang w:val="zh-CN"/>
          </w:rPr>
          <w:t>7</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rPr>
    </w:lvl>
  </w:abstractNum>
  <w:abstractNum w:abstractNumId="1">
    <w:nsid w:val="16DB0650"/>
    <w:multiLevelType w:val="multilevel"/>
    <w:tmpl w:val="16DB0650"/>
    <w:lvl w:ilvl="0" w:tentative="0">
      <w:start w:val="1"/>
      <w:numFmt w:val="none"/>
      <w:lvlText w:val="一、"/>
      <w:lvlJc w:val="left"/>
      <w:pPr>
        <w:ind w:left="1280" w:hanging="720"/>
      </w:pPr>
      <w:rPr>
        <w:rFonts w:hint="default"/>
        <w:b/>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AF4EEE7"/>
    <w:multiLevelType w:val="singleLevel"/>
    <w:tmpl w:val="5AF4EEE7"/>
    <w:lvl w:ilvl="0" w:tentative="0">
      <w:start w:val="1"/>
      <w:numFmt w:val="chineseCounting"/>
      <w:suff w:val="nothing"/>
      <w:lvlText w:val="%1、"/>
      <w:lvlJc w:val="left"/>
    </w:lvl>
  </w:abstractNum>
  <w:abstractNum w:abstractNumId="3">
    <w:nsid w:val="5AF4F296"/>
    <w:multiLevelType w:val="singleLevel"/>
    <w:tmpl w:val="5AF4F296"/>
    <w:lvl w:ilvl="0" w:tentative="0">
      <w:start w:val="1"/>
      <w:numFmt w:val="decimal"/>
      <w:suff w:val="nothing"/>
      <w:lvlText w:val="%1、"/>
      <w:lvlJc w:val="left"/>
    </w:lvl>
  </w:abstractNum>
  <w:abstractNum w:abstractNumId="4">
    <w:nsid w:val="5AF4F74F"/>
    <w:multiLevelType w:val="singleLevel"/>
    <w:tmpl w:val="5AF4F74F"/>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NiYjRlMzZhYzVhMWRiYTEwOTFkNDBkMzMzZjRiZDUifQ=="/>
  </w:docVars>
  <w:rsids>
    <w:rsidRoot w:val="14D70820"/>
    <w:rsid w:val="000016AB"/>
    <w:rsid w:val="0000733E"/>
    <w:rsid w:val="00010475"/>
    <w:rsid w:val="000140A9"/>
    <w:rsid w:val="0002639C"/>
    <w:rsid w:val="00027922"/>
    <w:rsid w:val="00036F46"/>
    <w:rsid w:val="000400EC"/>
    <w:rsid w:val="000448D3"/>
    <w:rsid w:val="0006498D"/>
    <w:rsid w:val="000668E7"/>
    <w:rsid w:val="00066B22"/>
    <w:rsid w:val="00073964"/>
    <w:rsid w:val="0008072E"/>
    <w:rsid w:val="00082C71"/>
    <w:rsid w:val="00085DEC"/>
    <w:rsid w:val="000A04FB"/>
    <w:rsid w:val="000A36E6"/>
    <w:rsid w:val="000C6612"/>
    <w:rsid w:val="000D54A9"/>
    <w:rsid w:val="000F1A23"/>
    <w:rsid w:val="000F2FB0"/>
    <w:rsid w:val="0010092D"/>
    <w:rsid w:val="001217FC"/>
    <w:rsid w:val="0013257F"/>
    <w:rsid w:val="0013572F"/>
    <w:rsid w:val="00142A98"/>
    <w:rsid w:val="0015334E"/>
    <w:rsid w:val="00153B2F"/>
    <w:rsid w:val="001544D9"/>
    <w:rsid w:val="00177105"/>
    <w:rsid w:val="001815FF"/>
    <w:rsid w:val="001A5717"/>
    <w:rsid w:val="001C7E12"/>
    <w:rsid w:val="001D0E12"/>
    <w:rsid w:val="001D6975"/>
    <w:rsid w:val="001E6B98"/>
    <w:rsid w:val="001F3AB8"/>
    <w:rsid w:val="001F5358"/>
    <w:rsid w:val="001F60A9"/>
    <w:rsid w:val="001F6B53"/>
    <w:rsid w:val="002104F4"/>
    <w:rsid w:val="00210924"/>
    <w:rsid w:val="0021096D"/>
    <w:rsid w:val="00210DAC"/>
    <w:rsid w:val="002211E3"/>
    <w:rsid w:val="0022225D"/>
    <w:rsid w:val="00242018"/>
    <w:rsid w:val="002427B8"/>
    <w:rsid w:val="00264A49"/>
    <w:rsid w:val="002A0CA1"/>
    <w:rsid w:val="002B1690"/>
    <w:rsid w:val="002C084D"/>
    <w:rsid w:val="002D2480"/>
    <w:rsid w:val="002D27AF"/>
    <w:rsid w:val="002E04CD"/>
    <w:rsid w:val="002F48A7"/>
    <w:rsid w:val="002F5ABB"/>
    <w:rsid w:val="00306EC9"/>
    <w:rsid w:val="00311848"/>
    <w:rsid w:val="0031742A"/>
    <w:rsid w:val="003340A6"/>
    <w:rsid w:val="0034629D"/>
    <w:rsid w:val="00353AE1"/>
    <w:rsid w:val="00355526"/>
    <w:rsid w:val="00360FD3"/>
    <w:rsid w:val="00363C63"/>
    <w:rsid w:val="003750BF"/>
    <w:rsid w:val="003761A2"/>
    <w:rsid w:val="00385165"/>
    <w:rsid w:val="00395CFB"/>
    <w:rsid w:val="003A42FB"/>
    <w:rsid w:val="003E7C96"/>
    <w:rsid w:val="003F2D9E"/>
    <w:rsid w:val="003F2FFF"/>
    <w:rsid w:val="00401E48"/>
    <w:rsid w:val="00434F86"/>
    <w:rsid w:val="00442BA8"/>
    <w:rsid w:val="004452CC"/>
    <w:rsid w:val="00447816"/>
    <w:rsid w:val="00481206"/>
    <w:rsid w:val="004815E2"/>
    <w:rsid w:val="0048716E"/>
    <w:rsid w:val="00491715"/>
    <w:rsid w:val="00496BF6"/>
    <w:rsid w:val="004C1FC6"/>
    <w:rsid w:val="004D7CF2"/>
    <w:rsid w:val="004E4C85"/>
    <w:rsid w:val="004E65D5"/>
    <w:rsid w:val="004E7C03"/>
    <w:rsid w:val="004F2EB8"/>
    <w:rsid w:val="005004FF"/>
    <w:rsid w:val="00515A96"/>
    <w:rsid w:val="0053237F"/>
    <w:rsid w:val="00532B15"/>
    <w:rsid w:val="00537064"/>
    <w:rsid w:val="00543389"/>
    <w:rsid w:val="00544194"/>
    <w:rsid w:val="00596B34"/>
    <w:rsid w:val="005B5982"/>
    <w:rsid w:val="005B5E50"/>
    <w:rsid w:val="005D1CFE"/>
    <w:rsid w:val="005D32F2"/>
    <w:rsid w:val="005D5885"/>
    <w:rsid w:val="005E2E79"/>
    <w:rsid w:val="005E61F2"/>
    <w:rsid w:val="005E6B4B"/>
    <w:rsid w:val="006033A1"/>
    <w:rsid w:val="00623702"/>
    <w:rsid w:val="00624F66"/>
    <w:rsid w:val="0062622B"/>
    <w:rsid w:val="00641833"/>
    <w:rsid w:val="00643949"/>
    <w:rsid w:val="00654A9D"/>
    <w:rsid w:val="00655BEE"/>
    <w:rsid w:val="00663003"/>
    <w:rsid w:val="00670B15"/>
    <w:rsid w:val="00671045"/>
    <w:rsid w:val="00671F73"/>
    <w:rsid w:val="00673247"/>
    <w:rsid w:val="00674491"/>
    <w:rsid w:val="0069446D"/>
    <w:rsid w:val="006A6992"/>
    <w:rsid w:val="006B2553"/>
    <w:rsid w:val="006C1E9F"/>
    <w:rsid w:val="006C65BC"/>
    <w:rsid w:val="006D1F3B"/>
    <w:rsid w:val="006D6272"/>
    <w:rsid w:val="006F2E9D"/>
    <w:rsid w:val="006F3A14"/>
    <w:rsid w:val="006F569A"/>
    <w:rsid w:val="006F79FB"/>
    <w:rsid w:val="007106C3"/>
    <w:rsid w:val="00711421"/>
    <w:rsid w:val="00722FE0"/>
    <w:rsid w:val="0074530B"/>
    <w:rsid w:val="00746246"/>
    <w:rsid w:val="007576FD"/>
    <w:rsid w:val="00764464"/>
    <w:rsid w:val="00770C6D"/>
    <w:rsid w:val="0077320F"/>
    <w:rsid w:val="007858B7"/>
    <w:rsid w:val="007A7E3F"/>
    <w:rsid w:val="007B17D6"/>
    <w:rsid w:val="007C5761"/>
    <w:rsid w:val="007D3EC9"/>
    <w:rsid w:val="007D5E12"/>
    <w:rsid w:val="007F1FC5"/>
    <w:rsid w:val="007F32AC"/>
    <w:rsid w:val="00800B65"/>
    <w:rsid w:val="00807D12"/>
    <w:rsid w:val="00810526"/>
    <w:rsid w:val="0081621E"/>
    <w:rsid w:val="008269DC"/>
    <w:rsid w:val="00827E5A"/>
    <w:rsid w:val="00877824"/>
    <w:rsid w:val="008840A4"/>
    <w:rsid w:val="008847CC"/>
    <w:rsid w:val="00891C45"/>
    <w:rsid w:val="00891DA5"/>
    <w:rsid w:val="00894F8F"/>
    <w:rsid w:val="008954C4"/>
    <w:rsid w:val="0089579B"/>
    <w:rsid w:val="008C1FCD"/>
    <w:rsid w:val="008E1184"/>
    <w:rsid w:val="008F6A87"/>
    <w:rsid w:val="008F7671"/>
    <w:rsid w:val="00910DBB"/>
    <w:rsid w:val="00912E27"/>
    <w:rsid w:val="009164F6"/>
    <w:rsid w:val="00924D21"/>
    <w:rsid w:val="0092669F"/>
    <w:rsid w:val="00933095"/>
    <w:rsid w:val="0093535F"/>
    <w:rsid w:val="0095248A"/>
    <w:rsid w:val="00953758"/>
    <w:rsid w:val="00957600"/>
    <w:rsid w:val="00963A40"/>
    <w:rsid w:val="009650B7"/>
    <w:rsid w:val="00975A8E"/>
    <w:rsid w:val="009926CC"/>
    <w:rsid w:val="00992878"/>
    <w:rsid w:val="00996960"/>
    <w:rsid w:val="009B67B8"/>
    <w:rsid w:val="009D5B70"/>
    <w:rsid w:val="009D6632"/>
    <w:rsid w:val="009E1157"/>
    <w:rsid w:val="009E1A4D"/>
    <w:rsid w:val="009F5CA6"/>
    <w:rsid w:val="00A156D3"/>
    <w:rsid w:val="00A23F9A"/>
    <w:rsid w:val="00A37EC4"/>
    <w:rsid w:val="00A550B3"/>
    <w:rsid w:val="00A6047A"/>
    <w:rsid w:val="00A65AC5"/>
    <w:rsid w:val="00A72CEF"/>
    <w:rsid w:val="00A77C00"/>
    <w:rsid w:val="00A80462"/>
    <w:rsid w:val="00A96092"/>
    <w:rsid w:val="00AA2270"/>
    <w:rsid w:val="00AA37F6"/>
    <w:rsid w:val="00AC0A0D"/>
    <w:rsid w:val="00AD3E33"/>
    <w:rsid w:val="00AD5651"/>
    <w:rsid w:val="00AE7E20"/>
    <w:rsid w:val="00B02199"/>
    <w:rsid w:val="00B02A04"/>
    <w:rsid w:val="00B10A69"/>
    <w:rsid w:val="00B12C91"/>
    <w:rsid w:val="00B142FC"/>
    <w:rsid w:val="00B14D77"/>
    <w:rsid w:val="00B30B3D"/>
    <w:rsid w:val="00B3298E"/>
    <w:rsid w:val="00B37251"/>
    <w:rsid w:val="00B37A75"/>
    <w:rsid w:val="00B45E35"/>
    <w:rsid w:val="00B52393"/>
    <w:rsid w:val="00B637ED"/>
    <w:rsid w:val="00B67662"/>
    <w:rsid w:val="00B7015D"/>
    <w:rsid w:val="00B7152E"/>
    <w:rsid w:val="00B75E47"/>
    <w:rsid w:val="00B858A1"/>
    <w:rsid w:val="00BE0350"/>
    <w:rsid w:val="00BE2C08"/>
    <w:rsid w:val="00C0034E"/>
    <w:rsid w:val="00C01070"/>
    <w:rsid w:val="00C035CB"/>
    <w:rsid w:val="00C13764"/>
    <w:rsid w:val="00C327A2"/>
    <w:rsid w:val="00C354EF"/>
    <w:rsid w:val="00C54657"/>
    <w:rsid w:val="00C56EFB"/>
    <w:rsid w:val="00C61559"/>
    <w:rsid w:val="00C756C1"/>
    <w:rsid w:val="00C84B6A"/>
    <w:rsid w:val="00C867AC"/>
    <w:rsid w:val="00CA062E"/>
    <w:rsid w:val="00CA1D42"/>
    <w:rsid w:val="00CA3662"/>
    <w:rsid w:val="00CA3E05"/>
    <w:rsid w:val="00CA7FE7"/>
    <w:rsid w:val="00CB7709"/>
    <w:rsid w:val="00CD3A84"/>
    <w:rsid w:val="00CD6F7D"/>
    <w:rsid w:val="00D23019"/>
    <w:rsid w:val="00D2706D"/>
    <w:rsid w:val="00D3366E"/>
    <w:rsid w:val="00D37670"/>
    <w:rsid w:val="00D436FA"/>
    <w:rsid w:val="00D45633"/>
    <w:rsid w:val="00D64CEE"/>
    <w:rsid w:val="00D67CFC"/>
    <w:rsid w:val="00D813B1"/>
    <w:rsid w:val="00D90689"/>
    <w:rsid w:val="00DA4593"/>
    <w:rsid w:val="00DC474F"/>
    <w:rsid w:val="00DC4AEF"/>
    <w:rsid w:val="00DC4BAB"/>
    <w:rsid w:val="00DE7334"/>
    <w:rsid w:val="00DF31B7"/>
    <w:rsid w:val="00E108FE"/>
    <w:rsid w:val="00E15EAC"/>
    <w:rsid w:val="00E225CA"/>
    <w:rsid w:val="00E42462"/>
    <w:rsid w:val="00E43810"/>
    <w:rsid w:val="00E47AC3"/>
    <w:rsid w:val="00E51EA2"/>
    <w:rsid w:val="00E602BD"/>
    <w:rsid w:val="00E713E9"/>
    <w:rsid w:val="00E80FFB"/>
    <w:rsid w:val="00E83200"/>
    <w:rsid w:val="00E87016"/>
    <w:rsid w:val="00E95A12"/>
    <w:rsid w:val="00EA0002"/>
    <w:rsid w:val="00EB43AF"/>
    <w:rsid w:val="00EB4919"/>
    <w:rsid w:val="00EB6A4E"/>
    <w:rsid w:val="00EC43BF"/>
    <w:rsid w:val="00ED6B4A"/>
    <w:rsid w:val="00EF3A07"/>
    <w:rsid w:val="00F04AE1"/>
    <w:rsid w:val="00F1223D"/>
    <w:rsid w:val="00F12F4E"/>
    <w:rsid w:val="00F20309"/>
    <w:rsid w:val="00F3548F"/>
    <w:rsid w:val="00F4776A"/>
    <w:rsid w:val="00F63D41"/>
    <w:rsid w:val="00F65778"/>
    <w:rsid w:val="00F9392B"/>
    <w:rsid w:val="00F94F76"/>
    <w:rsid w:val="00F95172"/>
    <w:rsid w:val="00FB6232"/>
    <w:rsid w:val="00FD03BA"/>
    <w:rsid w:val="00FE0EAB"/>
    <w:rsid w:val="00FE7735"/>
    <w:rsid w:val="00FF037C"/>
    <w:rsid w:val="00FF3C3B"/>
    <w:rsid w:val="00FF5E3A"/>
    <w:rsid w:val="052F7BE9"/>
    <w:rsid w:val="07E354E8"/>
    <w:rsid w:val="098B184A"/>
    <w:rsid w:val="0DB77E27"/>
    <w:rsid w:val="0F6D5BAE"/>
    <w:rsid w:val="107E1436"/>
    <w:rsid w:val="107F16C6"/>
    <w:rsid w:val="14D70820"/>
    <w:rsid w:val="18AB3EEC"/>
    <w:rsid w:val="199D333E"/>
    <w:rsid w:val="1E0848A5"/>
    <w:rsid w:val="1E3F18D8"/>
    <w:rsid w:val="1F456344"/>
    <w:rsid w:val="219A24C7"/>
    <w:rsid w:val="233D6EE4"/>
    <w:rsid w:val="23557DEB"/>
    <w:rsid w:val="24231D8E"/>
    <w:rsid w:val="25915A0E"/>
    <w:rsid w:val="261A4D4C"/>
    <w:rsid w:val="27C33CA0"/>
    <w:rsid w:val="2A6A5A19"/>
    <w:rsid w:val="2B5108D7"/>
    <w:rsid w:val="2B7C2FDF"/>
    <w:rsid w:val="2BE66046"/>
    <w:rsid w:val="31B30842"/>
    <w:rsid w:val="3202624E"/>
    <w:rsid w:val="34377F50"/>
    <w:rsid w:val="3E25152A"/>
    <w:rsid w:val="3FFA719D"/>
    <w:rsid w:val="406C535E"/>
    <w:rsid w:val="429E23AF"/>
    <w:rsid w:val="45011451"/>
    <w:rsid w:val="49586F36"/>
    <w:rsid w:val="4AC23C30"/>
    <w:rsid w:val="4CA95EBA"/>
    <w:rsid w:val="4DFC6236"/>
    <w:rsid w:val="51AD6F01"/>
    <w:rsid w:val="52D954E2"/>
    <w:rsid w:val="538B5D6C"/>
    <w:rsid w:val="546759DA"/>
    <w:rsid w:val="547C4E2A"/>
    <w:rsid w:val="54C67B58"/>
    <w:rsid w:val="5D054434"/>
    <w:rsid w:val="5EA87FAD"/>
    <w:rsid w:val="636546D8"/>
    <w:rsid w:val="64AB558A"/>
    <w:rsid w:val="68F21258"/>
    <w:rsid w:val="6DC2661B"/>
    <w:rsid w:val="712C5A62"/>
    <w:rsid w:val="7452317D"/>
    <w:rsid w:val="753D7DC7"/>
    <w:rsid w:val="75936E93"/>
    <w:rsid w:val="760A5128"/>
    <w:rsid w:val="7CD45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link w:val="19"/>
    <w:qFormat/>
    <w:uiPriority w:val="0"/>
    <w:pPr>
      <w:keepNext/>
      <w:jc w:val="center"/>
      <w:outlineLvl w:val="0"/>
    </w:pPr>
    <w:rPr>
      <w:rFonts w:ascii="Times New Roman" w:hAnsi="Times New Roman" w:cs="Times New Roman"/>
      <w:b/>
      <w:bCs/>
      <w:sz w:val="28"/>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rPr>
      <w:rFonts w:ascii="Times New Roman" w:hAnsi="Times New Roman" w:cs="Times New Roman"/>
      <w:szCs w:val="20"/>
    </w:rPr>
  </w:style>
  <w:style w:type="paragraph" w:styleId="4">
    <w:name w:val="Body Text Indent"/>
    <w:basedOn w:val="1"/>
    <w:link w:val="25"/>
    <w:uiPriority w:val="0"/>
    <w:pPr>
      <w:ind w:left="359" w:leftChars="171"/>
    </w:pPr>
    <w:rPr>
      <w:rFonts w:eastAsiaTheme="minorEastAsia"/>
      <w:sz w:val="24"/>
      <w:szCs w:val="20"/>
    </w:rPr>
  </w:style>
  <w:style w:type="paragraph" w:styleId="5">
    <w:name w:val="Balloon Text"/>
    <w:basedOn w:val="1"/>
    <w:link w:val="17"/>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0">
    <w:name w:val="Table Grid"/>
    <w:basedOn w:val="9"/>
    <w:uiPriority w:val="0"/>
    <w:rPr>
      <w:rFonts w:eastAsia="微软雅黑"/>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0"/>
  </w:style>
  <w:style w:type="character" w:customStyle="1" w:styleId="14">
    <w:name w:val="页眉 Char"/>
    <w:basedOn w:val="11"/>
    <w:link w:val="7"/>
    <w:qFormat/>
    <w:uiPriority w:val="0"/>
    <w:rPr>
      <w:rFonts w:eastAsia="宋体"/>
      <w:kern w:val="2"/>
      <w:sz w:val="18"/>
      <w:szCs w:val="18"/>
    </w:rPr>
  </w:style>
  <w:style w:type="character" w:customStyle="1" w:styleId="15">
    <w:name w:val="页脚 Char"/>
    <w:basedOn w:val="11"/>
    <w:link w:val="6"/>
    <w:qFormat/>
    <w:uiPriority w:val="99"/>
    <w:rPr>
      <w:rFonts w:eastAsia="宋体"/>
      <w:kern w:val="2"/>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1"/>
    <w:link w:val="5"/>
    <w:qFormat/>
    <w:uiPriority w:val="0"/>
    <w:rPr>
      <w:rFonts w:eastAsia="宋体"/>
      <w:kern w:val="2"/>
      <w:sz w:val="18"/>
      <w:szCs w:val="18"/>
    </w:rPr>
  </w:style>
  <w:style w:type="character" w:customStyle="1" w:styleId="18">
    <w:name w:val="标题 1 Char"/>
    <w:basedOn w:val="11"/>
    <w:link w:val="2"/>
    <w:uiPriority w:val="0"/>
    <w:rPr>
      <w:rFonts w:eastAsia="宋体"/>
      <w:b/>
      <w:bCs/>
      <w:kern w:val="44"/>
      <w:sz w:val="44"/>
      <w:szCs w:val="44"/>
    </w:rPr>
  </w:style>
  <w:style w:type="character" w:customStyle="1" w:styleId="19">
    <w:name w:val="标题 1 Char1"/>
    <w:link w:val="2"/>
    <w:uiPriority w:val="0"/>
    <w:rPr>
      <w:rFonts w:ascii="Times New Roman" w:hAnsi="Times New Roman" w:eastAsia="宋体" w:cs="Times New Roman"/>
      <w:b/>
      <w:bCs/>
      <w:kern w:val="2"/>
      <w:sz w:val="28"/>
      <w:szCs w:val="24"/>
    </w:rPr>
  </w:style>
  <w:style w:type="character" w:customStyle="1" w:styleId="20">
    <w:name w:val="页脚 字符"/>
    <w:uiPriority w:val="0"/>
    <w:rPr>
      <w:kern w:val="2"/>
      <w:sz w:val="18"/>
      <w:szCs w:val="18"/>
    </w:rPr>
  </w:style>
  <w:style w:type="character" w:customStyle="1" w:styleId="21">
    <w:name w:val="页眉 字符"/>
    <w:uiPriority w:val="0"/>
    <w:rPr>
      <w:kern w:val="2"/>
      <w:sz w:val="18"/>
      <w:szCs w:val="18"/>
    </w:rPr>
  </w:style>
  <w:style w:type="character" w:customStyle="1" w:styleId="22">
    <w:name w:val="正文文本缩进 Char1"/>
    <w:link w:val="4"/>
    <w:uiPriority w:val="0"/>
    <w:rPr>
      <w:kern w:val="2"/>
      <w:sz w:val="24"/>
    </w:rPr>
  </w:style>
  <w:style w:type="character" w:customStyle="1" w:styleId="23">
    <w:name w:val="批注框文本 字符"/>
    <w:uiPriority w:val="0"/>
    <w:rPr>
      <w:kern w:val="2"/>
      <w:sz w:val="18"/>
      <w:szCs w:val="18"/>
    </w:rPr>
  </w:style>
  <w:style w:type="paragraph" w:customStyle="1" w:styleId="24">
    <w:name w:val="xl24"/>
    <w:basedOn w:val="1"/>
    <w:uiPriority w:val="0"/>
    <w:pPr>
      <w:widowControl/>
      <w:spacing w:before="100" w:beforeAutospacing="1" w:after="100" w:afterAutospacing="1"/>
      <w:jc w:val="center"/>
    </w:pPr>
    <w:rPr>
      <w:rFonts w:ascii="宋体" w:hAnsi="宋体" w:cs="Times New Roman"/>
      <w:kern w:val="0"/>
      <w:sz w:val="24"/>
    </w:rPr>
  </w:style>
  <w:style w:type="character" w:customStyle="1" w:styleId="25">
    <w:name w:val="正文文本缩进 Char"/>
    <w:basedOn w:val="11"/>
    <w:link w:val="4"/>
    <w:semiHidden/>
    <w:uiPriority w:val="0"/>
    <w:rPr>
      <w:rFonts w:eastAsia="宋体"/>
      <w:kern w:val="2"/>
      <w:sz w:val="21"/>
      <w:szCs w:val="24"/>
    </w:rPr>
  </w:style>
  <w:style w:type="paragraph" w:customStyle="1" w:styleId="26">
    <w:name w:val="普通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2092</Words>
  <Characters>2281</Characters>
  <Lines>17</Lines>
  <Paragraphs>5</Paragraphs>
  <TotalTime>1101</TotalTime>
  <ScaleCrop>false</ScaleCrop>
  <LinksUpToDate>false</LinksUpToDate>
  <CharactersWithSpaces>2403</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2022-09-06T07:20:47Z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EEBB8C43247442DA8BCBF3177B175C81</vt:lpwstr>
  </property>
</Properties>
</file>